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JTAPI/462/2025 vom 5. Mai 2025</w:t>
      </w:r>
    </w:p>
    <w:p>
      <w:r>
        <w:t>GE Cour de justice, 2025-05-05, FR</w:t>
      </w:r>
    </w:p>
    <w:p>
      <w:r>
        <w:rPr>
          <w:b/>
        </w:rPr>
        <w:t xml:space="preserve">Quelle: </w:t>
      </w:r>
      <w:r>
        <w:t>https://mcp.opencaselaw.ch/entscheid/ge_gerichte_JTAPI_462_2025</w:t>
      </w:r>
    </w:p>
    <w:p>
      <w:r>
        <w:t>FR: GE_GERICHTE JTAPI/462/2025 du 5 mai 2025</w:t>
      </w:r>
    </w:p>
    <w:p>
      <w:r>
        <w:t>IT: GE_GERICHTE JTAPI/462/2025 del 5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rPr>
          <w:b/>
        </w:rPr>
        <w:t>E. 2</w:t>
      </w:r>
    </w:p>
    <w:p>
      <w:r>
        <w:t>Interjeté en temps utile et dans les formes prescrites devant la juridiction compétente, le recours est recevable (cf. art. 178 al. 7 et 179 al. 1 et 2 LDE ; art. 62</w:t>
      </w:r>
    </w:p>
    <w:p>
      <w:r>
        <w:t>- 5/9 - A/3541/2024 al. 1 let. a et 65 de la loi sur la procédure administrative du 12 septembre 1985 - LPA - E 5 10).</w:t>
      </w:r>
    </w:p>
    <w:p>
      <w:r>
        <w:rPr>
          <w:b/>
        </w:rPr>
        <w:t>E. 3</w:t>
      </w:r>
    </w:p>
    <w:p>
      <w:r>
        <w:t>Selon l’art. 1 al. 1 LDE,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 ils sont perçus par l’administration de l’enregistrement et des droits de succession du canton de Genève. L’enregistrement consiste à analyser et à mentionner dans un registre spécial tous actes et opérations soumis à cette formalité (art. 1 al. 2 LDE). Au sens de la présente loi, l’expression « enregistré » ne vise que les opérations effectuées par l’administration mentionnée ci-dessus (art. 1 al. 3 LDE).</w:t>
      </w:r>
    </w:p>
    <w:p>
      <w:r>
        <w:rPr>
          <w:b/>
        </w:rPr>
        <w:t>E. 4</w:t>
      </w:r>
    </w:p>
    <w:p>
      <w:r>
        <w:t>À teneur de l’art. 3 let. g LDE, les actes, écrits et pièces portant attribution de biens résultant de changement ou de liquidation d’un régime matrimonial lorsque les époux, ou l’un d’entre eux, sont domiciliés ou résident dans le canton de Genève, sont soumis obligatoirement à l’enregistrement, sous réserve des exceptions prévues par la présente loi. Est déterminante pour la fixation des droits, la nature réelle des actes et opérations ainsi que celle des stipulations qui y sont contenues (art. 8 al. 1 LDE). Les droits proportionnels et progressifs sont calculés sur les sommes et valeurs indiquées dans les actes et opérations soumis à l’enregistrement (art. 9 al. 1 LDE).</w:t>
      </w:r>
    </w:p>
    <w:p>
      <w:r>
        <w:rPr>
          <w:b/>
        </w:rPr>
        <w:t>E. 5</w:t>
      </w:r>
    </w:p>
    <w:p>
      <w:r>
        <w:t>Aux termes de l’art. 62 al. 1 let. b LDE, sous réserve de l’exception mentionnée à l’art. 6 let. t LDE - qui n’est pas réalisée en l’espèce - est soumis obligatoirement à l’enregistrement au droit de 1‰ et au minimum de CHF 10.- le partage des biens matrimoniaux existant au moment du changement ou de la liquidation du régime matrimonial, que ce partage ait lieu après le décès de l’un des conjoints ou de leur vivant.</w:t>
      </w:r>
    </w:p>
    <w:p>
      <w:r>
        <w:rPr>
          <w:b/>
        </w:rPr>
        <w:t>E. 6</w:t>
      </w:r>
    </w:p>
    <w:p>
      <w:r>
        <w:t>Les biens faisant l’objet du partage successoral, du changement ou de la liquidation du régime matrimonial sont taxés à leur valeur vénale à la date du partage, du changement ou de la liquidation du régime matrimonial, sans tenir compte du passif successoral ou matrimonial ; les biens qui font l’objet d’un rapport sont taxés à la valeur admise pour la perception des droits de succession (art. 63 LDE).</w:t>
      </w:r>
    </w:p>
    <w:p>
      <w:r>
        <w:rPr>
          <w:b/>
        </w:rPr>
        <w:t>E. 7</w:t>
      </w:r>
    </w:p>
    <w:p>
      <w:r>
        <w:t>Tous les actes ou opérations que la présente loi assujettit obligatoirement à l’enregistrement, mais qui n’ont pas été soumis à cette formalité, doivent être enregistrés, dès que ces actes ou opérations sont mentionnés dans un jugement ou dans un acte établi ou reçu en dépôt par une autorité judiciaire (art. 117 LDE).</w:t>
      </w:r>
    </w:p>
    <w:p>
      <w:r>
        <w:rPr>
          <w:b/>
        </w:rPr>
        <w:t>E. 8</w:t>
      </w:r>
    </w:p>
    <w:p>
      <w:r>
        <w:t>L’art. 138 al. 1 et 2 LDE dispose que les parties sont tenues de faire enregistrer tous les actes et opérations ainsi que les déclarations de transfert et d’autres opérations dont l’enregistrement est obligatoire en application de la présente loi (al. 1). Cette</w:t>
      </w:r>
    </w:p>
    <w:p>
      <w:r>
        <w:t>- 6/9 - A/3541/2024 obligation incombe solidairement aux donateur et donataire, aux cohéritiers en matière de partage successoral et aux époux dont le régime matrimonial est modifié ou liquidé (al. 2).</w:t>
      </w:r>
    </w:p>
    <w:p>
      <w:r>
        <w:rPr>
          <w:b/>
        </w:rPr>
        <w:t>E. 9</w:t>
      </w:r>
    </w:p>
    <w:p>
      <w:r>
        <w:t>Aux termes de l’art. 181 CC, les époux sont placés sous le régime de la participation aux acquêts, à moins qu’ils n’aient adopté un autre régime par contrat de mariage ou qu’ils ne soient soumis au régime matrimonial extraordinaire.</w:t>
      </w:r>
    </w:p>
    <w:p>
      <w:r>
        <w:rPr>
          <w:b/>
        </w:rPr>
        <w:t>E. 10</w:t>
      </w:r>
    </w:p>
    <w:p>
      <w:r>
        <w:t>Selon l’art. 204 al. 2 CC, relatif au régime de la participation aux acquêts, s’il y a divorce, séparation de corps, nullité de mariage ou séparation de biens judiciaire, la dissolution du régime rétroagit au jour de la demande. L’art. 204 CC est de droit impératif. La dissolution met fin au régime matrimonial et ouvre la voie à la liquidation de celui-ci. La liquidation s’opère de la même façon quelle que soit la cause de dissolution. C’est le moment de la dissolution du régime qui est décisif pour déterminer la composition des masses de biens en vue de la liquidation. Différentes décisions judiciaires entraînent la dissolution du régime matrimonial, parmi elles le jugement de divorce met fin au mariage lui-même et par là au régime matrimonial. La dissolution prend effet non lors de l’entrée en force du jugement, mais rétroactivement au moment de la demande. Le législateur a ainsi voulu éviter que des avantages économiques ne puissent être acquis en cours de procédure, par exemple que l’une des parties ne prolonge la procédure pour profiter d’une augmentation des acquêts du conjoint ou qu’elle ne consomme ses propres acquêts pour ne pas avoir à les partager avec le conjoint (Paul-Henri STEINAUER, Commentaire romand, Code civil I, 2010, p. 1345, 1346 et 1347 n. 2, 3, 9 et 10 ad art. 204 CC).</w:t>
      </w:r>
    </w:p>
    <w:p>
      <w:r>
        <w:rPr>
          <w:b/>
        </w:rPr>
        <w:t>E. 11</w:t>
      </w:r>
    </w:p>
    <w:p>
      <w:r>
        <w:t>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(ATA/772/2024 du 25 juin 2024 consid. 3.8 ; Xavier OBERSON, Droit fiscal suisse, 2021, p. 69).</w:t>
      </w:r>
    </w:p>
    <w:p>
      <w:r>
        <w:rPr>
          <w:b/>
        </w:rPr>
        <w:t>E. 12</w:t>
      </w:r>
    </w:p>
    <w:p>
      <w:r>
        <w:t>Selon la jurisprudence cantonale, l’art. 62 al. 1 let. b LDE se réfère explicitement au partage « au moment de la liquidation du régime matrimonial », de sorte qu’il s’agit de déterminer cette date. S’agissant de la détermination de la date précise du partage de la fortune au moment de la liquidation du régime matrimonial, il convient de s’inspirer de l’art. 204 CC afin d’appliquer la LDE de manière cohérente et conforme au droit civil. Il en résulte ainsi que le principe même du divorce et par</w:t>
      </w:r>
    </w:p>
    <w:p>
      <w:r>
        <w:t>- 7/9 - A/3541/2024 conséquent la dissolution du régime matrimonial sont prononcés avec effet à la date du dépôt de la demande. Cela étant, bien que le divorce et la dissolution du régime aient eu lieu avec effet rétroactif au jour du dépôt de la demande en divorce, ce n’est qu’à partir du jour où le divorce est prononcé par le tribunal civil que le partage des biens au titre de la liquidation du régime matrimonial peut avoir lieu. Par conséquent, c’est cette dernière date, correspondant à celle de la liquidation définitive du régime matrimonial entre les ex-conjoints dans le cadre de la liquidation de leur régime matrimonial qui doit être prise en considération pour fixer les droits d’enregistrement perçus sur cette opération (ATA/772/2024 du 25 juin 2024 consid. 3.10.2).</w:t>
      </w:r>
    </w:p>
    <w:p>
      <w:r>
        <w:rPr>
          <w:b/>
        </w:rPr>
        <w:t>E. 13</w:t>
      </w:r>
    </w:p>
    <w:p>
      <w:r>
        <w:t>Dans un premier grief, la recourante allègue que le bordereau litigieux est mal fondé au motif qu’il n’y aurait pas de taxation fiscale dans le cadre de la liquidation du régime matrimonial. Selon elle, les dévolutions de fortune suite à la liquidation d’un tel régime sont exonérées. Le tribunal ne peut la suivre. En effet, il résulte des art. 1, 3 let. g et 62 al. 1 let. b LDE que le partage des biens matrimoniaux existant au moment de la liquidation du régime matrimonial est soumis obligatoirement à l’enregistrement au droit de 1‰, que ce partage ait lieu après le décès de l’un des conjoints ou de leur vivant. Or, en l’espèce, le divorce prononcé à la demande conjointe de la contribuable et de son ex-conjoint par le TPI a entraîné la liquidation du régime matrimonial, étant relevé que les précités n’avaient, à teneur de la convention commune de divorce du 5 juillet 2023, pas conclu de contrat de mariage et qu’ils étaient soumis au régime de la participation aux acquêts. Ce grief sera écarté.</w:t>
      </w:r>
    </w:p>
    <w:p>
      <w:r>
        <w:rPr>
          <w:b/>
        </w:rPr>
        <w:t>E. 14</w:t>
      </w:r>
    </w:p>
    <w:p>
      <w:r>
        <w:t>Dans un second grief, la recourante soutient que le montant de CHF 9’337’928.- ne peut pas être taxé dans la mesure où il l'a déjà été au titre de l’impôt sur la fortune et au titre de l’impôt sur les gains immobiliers. À nouveau, le tribunal ne peut suivre la contribuable qui se plaint, en fait, d’une double imposition. Le principe de l’interdiction de la double imposition suppose la réunion des quatre conditions d’identité du sujet, de l’objet, du type d’impôt et de la période fiscale (ATF 150 I 31 consid. 4.1 et les références citées; arrêts du Tribunal fédéral 9C_216/2023 du 31 octobre 2023 consid. 9.1 ; 9C_675/ 2021 du 21 août 2023 consid. 7.1). Or, force est pour le tribunal de constater que les droits d’enregistrement, l’impôt sur la fortune et l’impôt sur les gains immobiliers reposent sur des dispositions légales différentes, sont chacun de nature distincte, ne frappent pas le même objet et sont constitutifs de droits indépendants les uns des autres. En particulier, les droits d’enregistrement ne constituent manifestement pas le même type d’impôt que les impôts sur la fortune et sur les bénéfices et gains immobiliers, leurs assiettes étant différentes ainsi qu’il en résulte des art. 1 LDE, 12 et 13 de la loi fédérale sur l’harmonisation des impôts directs des cantons et des communes du 14 décembre 1990 (LHID - RS 642.14). Au surplus, la recourante n’allègue pas une atteinte à sa capacité contributive.</w:t>
      </w:r>
    </w:p>
    <w:p>
      <w:r>
        <w:t>- 8/9 - A/3541/2024 Ce grief sera également écarté.</w:t>
      </w:r>
    </w:p>
    <w:p>
      <w:r>
        <w:rPr>
          <w:b/>
        </w:rPr>
        <w:t>E. 15</w:t>
      </w:r>
    </w:p>
    <w:p>
      <w:r>
        <w:t>En troisième lieu, la recourante soutient que la vente de l’immeuble de C______ et l’achat de celui de B______ étaient intervenus avant la liquidation matrimoniale. Elle en déduit qu’il n’y a pas eu de liquidation d’immeubles lors de la liquidation matrimoniale. À juste titre, la recourante considère que la valeur de l’immeuble de C______ n’aurait pas dû être prise en compte puisque sa vente est intervenue avant la liquidation matrimoniale. En effet, à teneur de l’art. 63 LDE et conformément à la jurisprudence cantonale susmentionnée, la date devant être prise en considération pour fixer les droits d’enregistrement de la liquidation matrimoniale est, dans le cas d’espèce, le jour du jugement du TPI, soit le ______ 2023. Il n’y a donc pas lieu de déterminer la valeur des biens au jour de la séparation du couple formé par la contribuable et son ex-conjoint, le 1er septembre 2021, ainsi que l'a fait l’AFC-GE. Les montants pris en compte à titre de l’assiette de calcul des droits d’enregistre- ment sont dès lors erronés. Ce grief est par conséquent admis.</w:t>
      </w:r>
    </w:p>
    <w:p>
      <w:r>
        <w:rPr>
          <w:b/>
        </w:rPr>
        <w:t>E. 16</w:t>
      </w:r>
    </w:p>
    <w:p>
      <w:r>
        <w:t>Au vu de ce qui précède, le recours sera admis et la décision sur réclamation de l’administration fiscale cantonale du 25 septembre 2024, ainsi que le bordereau de droits d’enregistrement (référence Vol. 3______) annulés.</w:t>
      </w:r>
    </w:p>
    <w:p>
      <w:r>
        <w:rPr>
          <w:b/>
        </w:rPr>
        <w:t>E. 17</w:t>
      </w:r>
    </w:p>
    <w:p>
      <w:r>
        <w:t>En application des art. 87 al. 1 LPA et 1 et 2 du règlement sur les frais, émoluments et indemnités en procédure administrative du 30 juillet 1986 (RFPA - E 5 10.03), la recourante, qui obtient gain de cause, est dispensée du paiement d’un émolument. L’avance de frais de CHF 700.-, versée à la suite du dépôt du recours, lui sera restituée. Aucune indemnité de procédure ne sera allouée (art. 87 al. 2 LPA).</w:t>
      </w:r>
    </w:p>
    <w:p>
      <w:r>
        <w:t>- 9/9 - A/3541/2024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