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JTAPI/460/2025 vom 5. Mai 2025</w:t>
      </w:r>
    </w:p>
    <w:p>
      <w:r>
        <w:t>GE Cour de justice, 2025-05-05, FR</w:t>
      </w:r>
    </w:p>
    <w:p>
      <w:r>
        <w:rPr>
          <w:b/>
        </w:rPr>
        <w:t xml:space="preserve">Quelle: </w:t>
      </w:r>
      <w:r>
        <w:t>https://mcp.opencaselaw.ch/entscheid/ge_gerichte_JTAPI_460_2025</w:t>
      </w:r>
    </w:p>
    <w:p>
      <w:r>
        <w:t>FR: GE_GERICHTE JTAPI/460/2025 du 5 mai 2025</w:t>
      </w:r>
    </w:p>
    <w:p>
      <w:r>
        <w:t>IT: GE_GERICHTE JTAPI/460/2025 del 5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(ATA/655/2017 du 13 juin 2017 et les références citées), l'autorité de recours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4</w:t>
      </w:r>
    </w:p>
    <w:p>
      <w:r>
        <w:t>En l'espèce, par courrier du 1er avril 2025, le tribunal a imparti au recourant un délai au 8 avril 2025 pour transmettre un exemplaire de son recours muni d'une signature manuscrite originale et motivé, sous peine d'irrecevabilité. Le recourant n'y a donné aucune suite. En conséquence, faute de comporter une signature olographe, le présent recours doit être déclaré irrecevable selon la procédure simplifiée de l’art 72 LPA, rien ne permettant au surplus de retenir que le recourant a été victime d’un empêchement non fautif de faire signer en temps utile son recours.</w:t>
      </w:r>
    </w:p>
    <w:p>
      <w:r>
        <w:t>- 3/4 - A/1092/2025</w:t>
      </w:r>
    </w:p>
    <w:p>
      <w:r>
        <w:rPr>
          <w:b/>
        </w:rPr>
        <w:t>E. 5</w:t>
      </w:r>
    </w:p>
    <w:p>
      <w:r>
        <w:t>En application des art. 87 al. 1 LPA et 1 et 2 du règlement sur les frais, émoluments et indemnités en procédure administrative du 30 juillet 1986 (RFPA - E 5 10.03), le recourant, qui succombe, est condamné au paiement d’un émolument s'élevant à CHF 250.-.</w:t>
      </w:r>
    </w:p>
    <w:p>
      <w:r>
        <w:t>- 4/4 - A/1092/2025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