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JTAPI/458/2024 vom 15. Mai 2024</w:t>
      </w:r>
    </w:p>
    <w:p>
      <w:r>
        <w:t>GE Cour de justice, 2024-05-15, FR</w:t>
      </w:r>
    </w:p>
    <w:p>
      <w:r>
        <w:rPr>
          <w:b/>
        </w:rPr>
        <w:t xml:space="preserve">Quelle: </w:t>
      </w:r>
      <w:r>
        <w:t>https://mcp.opencaselaw.ch/entscheid/ge_gerichte_JTAPI_458_2024</w:t>
      </w:r>
    </w:p>
    <w:p>
      <w:r>
        <w:t>FR: GE_GERICHTE JTAPI/458/2024 du 15 mai 2024</w:t>
      </w:r>
    </w:p>
    <w:p>
      <w:r>
        <w:t>IT: GE_GERICHTE JTAPI/458/2024 del 15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- 6/16 - A/4167/2023</w:t>
      </w:r>
    </w:p>
    <w:p>
      <w:r>
        <w:rPr>
          <w:b/>
        </w:rPr>
        <w:t>E. 3.1</w:t>
      </w:r>
    </w:p>
    <w:p>
      <w:r>
        <w:t>; 139 IV 228 consid. 1.1 p. 230 et les références citées).</w:t>
      </w:r>
    </w:p>
    <w:p>
      <w:r>
        <w:rPr>
          <w:b/>
        </w:rPr>
        <w:t>E. 3.2</w:t>
      </w:r>
    </w:p>
    <w:p>
      <w:r>
        <w:t>; 2C_138/2007 du 17 août 2007 consid. 4 et les réf. citées). Pour le surplus, l’autorité intimée s’est opposée à la suspension de la procédure de recours requise par le recourant. Par conséquent, la suspension de la présente cause ne se justifie ni sous l’angle de l’art. 14 LPA ni sous celui de l’art. 78 LPA et la requête y relative sera rejetée.</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À titre préalable, le recourant sollicite l’octroi de l’effet suspensif au recours.</w:t>
      </w:r>
    </w:p>
    <w:p>
      <w:r>
        <w:rPr>
          <w:b/>
        </w:rPr>
        <w:t>E. 6</w:t>
      </w:r>
    </w:p>
    <w:p>
      <w:r>
        <w:t>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w:t>
      </w:r>
    </w:p>
    <w:p>
      <w:r>
        <w:rPr>
          <w:b/>
        </w:rPr>
        <w:t>E. 7</w:t>
      </w:r>
    </w:p>
    <w:p>
      <w:r>
        <w:t>En l’espèce, la décision litigieuse ne mentionne pas qu’elle aurait été déclarée exécutoire nonobstant recours. Dès lors, en l’absence d’une telle mention, la décision querellée dispose d’un effet suspensif automatique au sens de l’art. 66 al. 1 LPA. Le recours doit donc être déclaré sans objet sur ce point.</w:t>
      </w:r>
    </w:p>
    <w:p>
      <w:r>
        <w:rPr>
          <w:b/>
        </w:rPr>
        <w:t>E. 8</w:t>
      </w:r>
    </w:p>
    <w:p>
      <w:r>
        <w:t>Le recourant demande que la procédure soit suspendue jusqu’à l’issue de la procédure pénale pour violences domestiques.</w:t>
      </w:r>
    </w:p>
    <w:p>
      <w:r>
        <w:rPr>
          <w:b/>
        </w:rPr>
        <w:t>E. 9</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rPr>
          <w:b/>
        </w:rPr>
        <w:t>E. 10</w:t>
      </w:r>
    </w:p>
    <w:p>
      <w:r>
        <w:t>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(ATA/26/2017 du 17 janvier 2017 consid. 2b).</w:t>
      </w:r>
    </w:p>
    <w:p>
      <w:r>
        <w:rPr>
          <w:b/>
        </w:rPr>
        <w:t>E. 11</w:t>
      </w:r>
    </w:p>
    <w:p>
      <w:r>
        <w:t>À teneur de l’art. 78 LPA, l’instruction du recours est suspendue par : a) la requête simultanée de toutes les parties; b) le décès d’une partie; c) la faillite d’une partie;</w:t>
      </w:r>
    </w:p>
    <w:p>
      <w:r>
        <w:t>- 7/16 - A/4167/2023 d) sa mise sous curatelle de portée générale; e) la cessation des fonctions en vertu desquelles l’une des parties agissait; f) le décès, la démission, la suspension ou la destitution de l’avocat ou du mandataire qualifié constitué.</w:t>
      </w:r>
    </w:p>
    <w:p>
      <w:r>
        <w:rPr>
          <w:b/>
        </w:rPr>
        <w:t>E. 12</w:t>
      </w:r>
    </w:p>
    <w:p>
      <w:r>
        <w:t>En l’espèce, l’issue de la procédure pénale est sans incidence sur la présente procédure, le recourant ne pouvant invoquer aucun droit à une autorisation de séjour en l’état, comme cela ressort des considérants qui suivent. Au demeurant, sa présence en Suisse durant la procédure pénale n’est pas requise, dans la mesure où il peut se faire représenter par un mandataire ou effectuer en Suisse des séjours de nature touristique pour se présenter à d’éventuelles audiences, si nécessaire (cf. arrêts du Tribunal fédéral 2C_905_2012 du</w:t>
      </w:r>
    </w:p>
    <w:p>
      <w:r>
        <w:rPr>
          <w:b/>
        </w:rPr>
        <w:t>E. 13</w:t>
      </w:r>
    </w:p>
    <w:p>
      <w:r>
        <w:t>Le recourant invoque une violation de son droit d’être entendu, faute d’avoir pu exercer son droit d’être entendu avant le prononcé de la décision entreprise. Il reproche à l’autorité intimée d’avoir notifié sa lettre d’intention au domicile conjugal alors qu’il en était parti et critique l’utilisation du « courrier A+ » aux fins de la notification.</w:t>
      </w:r>
    </w:p>
    <w:p>
      <w:r>
        <w:rPr>
          <w:b/>
        </w:rPr>
        <w:t>E. 14</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ATA/401/2024 du 19 mars 2024 consid. 7.1). Ce moyen doit par conséquent être examiné en premier lieu (ATF 141 V 495 consid. 2.2). Tel qu’il est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 jurisprudence admet qu’une violation du droit d’être entendu en instance inférieure peut être réparée lorsque l’intéressé a la faculté de se faire entendre en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w:t>
      </w:r>
    </w:p>
    <w:p>
      <w:r>
        <w:t>- 8/16 - A/4167/2023 fédéral 6B_819/2018 du 25 janvier 2019 consid. 3.8). Elle peut cependant se justifier en présence d’un vice grave, lorsque le renvoi constituerait une vaine formalité et aboutirait à un allongement inutile de la procédure (ATF 142 II 218 consid. 2.8.1 ; arrêt du Tribunal fédéral 2C/72/2019 du 13 mai 2019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w:t>
      </w:r>
    </w:p>
    <w:p>
      <w:r>
        <w:rPr>
          <w:b/>
        </w:rPr>
        <w:t>E. 15</w:t>
      </w:r>
    </w:p>
    <w:p>
      <w:r>
        <w:t>La prestation « courrier A+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sont directement distribués dans la boîte aux lettres ou dans la case postale du destinataire. En cas d’absence, le destinataire ne reçoit pas d’invitation à retirer un envoi dans sa boîte aux lettres (document de La Poste suisse sur Internet « Courrier A Plus - La transparence tout au long du processus d’expédition » ; aussi ATF 142 III 599 consid. 2.1).</w:t>
      </w:r>
    </w:p>
    <w:p>
      <w:r>
        <w:rPr>
          <w:b/>
        </w:rPr>
        <w:t>E. 16</w:t>
      </w:r>
    </w:p>
    <w:p>
      <w:r>
        <w:t>Celui qui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 arrêts du Tribunal fédéral 6B_239/2011 du 22 mars 2012 consid. 3.5 ; 1C_549/2009 du 1er mars 2010 consid. 3.2.1 et les références citées ; ATA/986/2015 du 22 septembre 2015 ; ATA/450/2015 du 12 mai 2015 ; ATA/400/2012 du 26 juin 2012).</w:t>
      </w:r>
    </w:p>
    <w:p>
      <w:r>
        <w:rPr>
          <w:b/>
        </w:rPr>
        <w:t>E. 17</w:t>
      </w:r>
    </w:p>
    <w:p>
      <w:r>
        <w:t>En outre,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Ces principes s’appliquent également dans le cadre de procédures pendantes devant des autorités administratives (ATF 141 II 429 consid.</w:t>
      </w:r>
    </w:p>
    <w:p>
      <w:r>
        <w:rPr>
          <w:b/>
        </w:rPr>
        <w:t>E. 18</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w:t>
      </w:r>
    </w:p>
    <w:p>
      <w:r>
        <w:t>- 9/16 - A/4167/2023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w:t>
      </w:r>
    </w:p>
    <w:p>
      <w:r>
        <w:rPr>
          <w:b/>
        </w:rPr>
        <w:t>E. 19</w:t>
      </w:r>
    </w:p>
    <w:p>
      <w:r>
        <w:t>En l’espèce, le recourant explique n’avait jamais reçu le courrier d’intention du 15 septembre 2023, au motif qu’il a été notifié au domicile conjugal alors même que l’OCPM savait qu’il en était parti. Il ressort du dossier que l’OCPM a effectivement été informé par l’épouse du recourant, en octobre et novembre 2022, que ce dernier avait quitté le domicile conjugal. L’intéressé ne saurait toutefois se prévaloir d’une notification irrégulière à cette adresse, dès lors qu’il a lui-même expressément mentionné celle-ci comme adresse de correspondance dans son courrier à l’OCPM du 22 décembre 2022 et qu’il n’a pas clairement indiqué qu’il ne pouvait pas être atteint à cette adresse, laissant au contraire entendre qu’il réintégrerait le domicile conjugal une fois qu’il se serait réconcilié avec son épouse. À la date d’envoi du pli litigieux, soit neuf mois plus tard, le recourant n’avait toujours pas annoncé de changement d’adresse à l’OCPM, étant relevé qu’il est encore, à ce jour, officiellement domicilié au domicile conjugal selon les données CALVIN. Le fait qu’il ignorait l’ouverture d’une procédure administrative visant à révoquer son permis n’est à cet égard pas déterminant, dès lors qu’en tout état, il lui appartenait de prendre les dispositions nécessaires pour faire suivre son courrier en cas d’absence de son domicile. Le tribunal relève au demeurant que la décision du 8 novembre 2023, notifiée au domicile conjugal en « courrier A+ », lui a bien été transmise, démontrant au besoin qu’il était atteignable à cette adresse. Quoi qu’il en soit, même en admettant une violation du droit d’être entendu, celle- ci aurait été réparée dans le cadre de la présente procédure. En effet, le recourant a pu se déterminer devant le tribunal de céans qui dispose du même pouvoir d’examen que l’autorité inférieure, la décision querellée ne relevant pas de l’opportunité. Dans ces conditions, il apparaît que le renvoi de la cause à l’autorité inférieure constituerait une vaine formalité et aboutirait à un allongement inutile de la procédure. Dans ces circonstances, le grief tiré de la violation du droit d’être entendu sera écarté.</w:t>
      </w:r>
    </w:p>
    <w:p>
      <w:r>
        <w:rPr>
          <w:b/>
        </w:rPr>
        <w:t>E. 20</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21</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t>- 10/16 - A/4167/2023</w:t>
      </w:r>
    </w:p>
    <w:p>
      <w:r>
        <w:rPr>
          <w:b/>
        </w:rPr>
        <w:t>E. 22</w:t>
      </w:r>
    </w:p>
    <w:p>
      <w:r>
        <w:t>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23</w:t>
      </w:r>
    </w:p>
    <w:p>
      <w:r>
        <w:t>En l’espèce, le mariage du recourant avec Mme B______ ayant été célébré le 18 août 2022 et l’intéressé ayant quitté le domicile conjugal le 1er octobre 2022, la vie commune a duré moins de trois ans – en l’occurrence moins de deux mois –, ce qui n’est pas contesté. Ainsi, dans la mesure où les deux conditions posées par l’art. 50 al. 1 let. a LEI sont cumulatives et que la première d’entre elles n’est pas remplie, il n’y a pas lieu d’examiner si l’intégration du recourant est réussie (cf. ATF 140 II 289 consid. 3.5.3 ; 136 II consid. 3.3.3 ; arrêt du Tribunal fédéral 2C_621/2015 du 11 décembre 2015 consid. 5.1 ; ATA/ 978/2019 du 4 juin 2019 consid. 5c ; ATA/203/2018 du 6 mars 2018 consid. 4a).</w:t>
      </w:r>
    </w:p>
    <w:p>
      <w:r>
        <w:rPr>
          <w:b/>
        </w:rPr>
        <w:t>E. 24</w:t>
      </w:r>
    </w:p>
    <w:p>
      <w:r>
        <w:t>Reste à examiner si la poursuite du séjour du recourant en Suisse s’imposerait pour des raisons personnelles majeures au sens de l’art. 50 al. 1 let. b LEI.</w:t>
      </w:r>
    </w:p>
    <w:p>
      <w:r>
        <w:rPr>
          <w:b/>
        </w:rPr>
        <w:t>E. 25</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26</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w:t>
      </w:r>
    </w:p>
    <w:p>
      <w:r>
        <w:t>- 11/16 - A/4167/2023 séjour en Suisse (ATF 138 II 393 consid. 3.1 ; arrêt du Tribunal fédéral 2C_112/2020 du 9 juin 2020 consid. 4.1 et les références).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27</w:t>
      </w:r>
    </w:p>
    <w:p>
      <w:r>
        <w:t>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w:t>
      </w:r>
    </w:p>
    <w:p>
      <w:r>
        <w:rPr>
          <w:b/>
        </w:rPr>
        <w:t>E. 28</w:t>
      </w:r>
    </w:p>
    <w:p>
      <w:r>
        <w:t>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29</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30</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w:t>
      </w:r>
    </w:p>
    <w:p>
      <w:r>
        <w:t>- 12/16 - A/4167/2023 mais par son conjoint (arrêt du Tribunal fédéral 2C_915/2019 du 13 mars 2020 consid. 3.2) et une analyse du cas concret doit avoir lieu dans chaque affaire.</w:t>
      </w:r>
    </w:p>
    <w:p>
      <w:r>
        <w:rPr>
          <w:b/>
        </w:rPr>
        <w:t>E. 31</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Des affirmations d’ordre général ou des indices faisant état de tensions ponctuelles sont insuffisants (ATF 138 II 229 consid. 3.2.3 ; arrêts du Tribunal fédéral 2C_12/2018 précité consid. 3.2 ; 2C_401/2018 du 17 septembre 2018 consid. 4.2).</w:t>
      </w:r>
    </w:p>
    <w:p>
      <w:r>
        <w:rPr>
          <w:b/>
        </w:rPr>
        <w:t>E. 32</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33</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w:t>
      </w:r>
    </w:p>
    <w:p>
      <w:r>
        <w:rPr>
          <w:b/>
        </w:rPr>
        <w:t>E. 34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w:t>
      </w:r>
    </w:p>
    <w:p>
      <w:r>
        <w:t>- 13/16 - A/4167/2023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w:t>
      </w:r>
    </w:p>
    <w:p>
      <w:r>
        <w:rPr>
          <w:b/>
        </w:rPr>
        <w:t>E. 35</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36</w:t>
      </w:r>
    </w:p>
    <w:p>
      <w:r>
        <w:t>En l’espèce, le recourant soutient avoir fait l’objet de violences conjugales de la part de Mme B______. Lors de son audition à la police le 26 novembre 2022, dans le cadre de la plainte pénale pour violences conjugales (coups et menaces) déposée par son épouse, le recourant a notamment accusé cette dernière de l’avoir frappé de la main sur le côté de la tête, de l’avoir griffé au niveau du cou, de l’avoir injurié et d’avoir jeté ses affaires par la fenêtre. Selon le rapport de renseignements du 29</w:t>
      </w:r>
    </w:p>
    <w:p>
      <w:r>
        <w:t>- 14/16 - A/4167/2023 décembre 2022, sous réserve des injures et du jet des affaires par la fenêtre, Mme B______ a contesté les faits qui lui étaient reprochés. En l’état donc, les violences conjugales allégués reposent sur la seule base des déclarations du recourant. De plus, il n’apparaît pas que l’état de santé du recourant ait nécessité un traitement médical et/ou psychologique en lien avec les violences dont il a fait état. Quoi qu’il en soit, le recourant ne démontre, ni ne prétend d’ailleurs, avoir été victime d’une maltraitance à caractère systématique et de longue durée. Même si les violences alléguées, pour autant qu'elles aient effectivement eu lieu, sont regrettables, elles n’atteignent à l’évidence pas le degré de gravité et d’intensité requis par la jurisprudence, s'agissant du coup que le recourant aurait reçu sur le côté de la tête, porté par sa compagne, ainsi que des griffures qu'elle lui aurait faites au cou. Par ailleurs, il faut souligner que dans le courrier qu'il a adressé le 3 janvier 2023 à l'autorité intimée, le recourant a indiqué qu'il s'agissait d'une dispute, ne faisant aucune allusion au fait que de telles violences auraient eu lieu de manière répétée, et a en outre exprimé son souhait de pouvoir sauver sa relation conjugale grâce à l'emploi qu'il venait de trouver. Ce courrier ne donne ainsi aucune indication permettant de considérer que les violences qu'aurait subies le recourant auraient atteint un degré d'intensité constituant des raisons personnelles majeures au sens de l'art. 50 al. 1 let. b et al. 2 LEI, justifiant la poursuite de son séjour en Suisse. Pour le surplus, il ne ressort pas du dossier que la réintégration du recourant au Venezuela, où il a vécu jusqu’à l’âge de 24 ans, le placerait dans une situation de rigueur, ce qu’il n’allègue pas du reste. Âgé actuellement de 26 ans, il est encore jeune, visiblement en bonne santé, et au bénéfice d’une expérience professionnelle et de connaissances linguistiques acquises en Suisse. Ces éléments faciliteront grandement sa réintégration au Venezuela, étant précisé que le fait que les conditions d'existence soient plus difficiles dans le pays de provenance, compte tenu d'un niveau de vie différent, n'est pas déterminant au regard de l'art. 50 al. 1 let. b LEI (ATF 137 II 345 consid. 3.2.3 ; arrêt du TF 2C_1119/2012 du 4 juillet 2013 consid. 5.2 ; arrêt du TAF F-2718/2018 du 20 avril 2020 consid. 8.4.2).</w:t>
      </w:r>
    </w:p>
    <w:p>
      <w:r>
        <w:rPr>
          <w:b/>
        </w:rPr>
        <w:t>E. 37</w:t>
      </w:r>
    </w:p>
    <w:p>
      <w:r>
        <w:t>Il apparaît ainsi que la poursuite du séjour du recourant en Suisse ne s’impose pas pour des raisons personnelles majeures au sens des art. 50 al. 1 let. b et al. 2 LEI. Il n'y a enfin pas lieu d'examiner la situation du recourant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w:t>
      </w:r>
    </w:p>
    <w:p>
      <w:r>
        <w:rPr>
          <w:b/>
        </w:rPr>
        <w:t>E. 38</w:t>
      </w:r>
    </w:p>
    <w:p>
      <w:r>
        <w:t>Au vu de ce qui précède, c’est à bon droit que l’OCPM a révoqué l’autorisation de séjour au recourant.</w:t>
      </w:r>
    </w:p>
    <w:p>
      <w:r>
        <w:rPr>
          <w:b/>
        </w:rPr>
        <w:t>E. 39</w:t>
      </w:r>
    </w:p>
    <w:p>
      <w:r>
        <w:t>Selon l’art. 64 al. 1 let. c LEI, les autorités compétentes rendent une décision de renvoi ordinaire à l’encontre d’un étranger auquel une autorisation est refusée ou</w:t>
      </w:r>
    </w:p>
    <w:p>
      <w:r>
        <w:t>- 15/16 - A/4167/2023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40</w:t>
      </w:r>
    </w:p>
    <w:p>
      <w:r>
        <w:t>En l'espèce, le recourant n’obtient pas le droit de séjourner en Suisse, c’est également à bon droit que l’autorité intimée a prononcé son renvoi. Pour le surplus, il n’apparaît pas que l’exécution de cette mesure ne serait pas possible, serait illicite ou qu’elle ne pourrait être raisonnablement exigée au sens de l’art. 83 LEI.</w:t>
      </w:r>
    </w:p>
    <w:p>
      <w:r>
        <w:rPr>
          <w:b/>
        </w:rPr>
        <w:t>E. 41</w:t>
      </w:r>
    </w:p>
    <w:p>
      <w:r>
        <w:t>Infondé, le recours sera rejeté et la décision contestée confirmée.</w:t>
      </w:r>
    </w:p>
    <w:p>
      <w:r>
        <w:rPr>
          <w:b/>
        </w:rPr>
        <w:t>E. 42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d’un même montant versée à la suite du dépôt du recours. Vu l’issue du litige, aucune indemnité de procédure ne sera allouée (art. 87 al. 2 LPA).</w:t>
      </w:r>
    </w:p>
    <w:p>
      <w:r>
        <w:rPr>
          <w:b/>
        </w:rPr>
        <w:t>E. 43</w:t>
      </w:r>
    </w:p>
    <w:p>
      <w:r>
        <w:t>En vertu des art. 89 al. 2 et 111 al. 2 de la loi sur le Tribunal fédéral du 17 juin 2005 (LTF - RS 173.110), le présent jugement sera communiqué au secrétariat d’État aux migrations.</w:t>
      </w:r>
    </w:p>
    <w:p>
      <w:r>
        <w:t>- 16/16 - A/4167/2023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