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JTAPI/456/2024 vom 15. Mai 2024</w:t>
      </w:r>
    </w:p>
    <w:p>
      <w:r>
        <w:t>GE Cour de justice, 2024-05-15, FR</w:t>
      </w:r>
    </w:p>
    <w:p>
      <w:r>
        <w:rPr>
          <w:b/>
        </w:rPr>
        <w:t xml:space="preserve">Quelle: </w:t>
      </w:r>
      <w:r>
        <w:t>https://mcp.opencaselaw.ch/entscheid/ge_gerichte_JTAPI_456_2024</w:t>
      </w:r>
    </w:p>
    <w:p>
      <w:r>
        <w:t>FR: GE_GERICHTE JTAPI/456/2024 du 15 mai 2024</w:t>
      </w:r>
    </w:p>
    <w:p>
      <w:r>
        <w:t>IT: GE_GERICHTE JTAPI/456/2024 del 15 maggio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Aux termes de l'art. 62 al. 1 let. a de la loi sur la procédure administrative du 12 septembre 1985 (LPA - E 5 10), le délai de recours est de trente jours s'il s'agit d'une décision finale (art. 57 al. 1 let. a LPA). Ce délai court dès le lendemain de la notification de la décision (art. 62 al. 3 LPA).</w:t>
      </w:r>
    </w:p>
    <w:p>
      <w:r>
        <w:rPr>
          <w:b/>
        </w:rPr>
        <w:t>E. 2.1</w:t>
      </w:r>
    </w:p>
    <w:p>
      <w:r>
        <w:t>; 6B_ 869/2014 du 18 septembre 2015 consid. 1.2 ; 5A_225/2012 du 26 septembre 2012 consid. 2.1.2 ; 8C_227/2011 du 22 mars 2012 consid. 4.2).</w:t>
      </w:r>
    </w:p>
    <w:p>
      <w:r>
        <w:rPr>
          <w:b/>
        </w:rPr>
        <w:t>E. 3</w:t>
      </w:r>
    </w:p>
    <w:p>
      <w:r>
        <w:t>Selon une jurisprudence constante, le fardeau de la preuve de la notification d'un acte, notamment de la date à laquelle celle-ci est intervenue, incombe à l'autorité qui entend en tirer une conséquence juridique (ATF 142 IV 125 consid. 4.3 ; 136 V 295 consid. 5.9 et les nombreuses références ; ATA/65/2011 du 11 février 2011 consid. 5).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(ATF 142 IV 125 consid. 4.3 ; 129 I 8 consid. 2.2 ; 124 V 400 consid. 2a ; arrêts du Tribunal fédéral 1C_634/2015 du 26 avril 2016 consid.</w:t>
      </w:r>
    </w:p>
    <w:p>
      <w:r>
        <w:rPr>
          <w:b/>
        </w:rPr>
        <w:t>E. 4</w:t>
      </w:r>
    </w:p>
    <w:p>
      <w:r>
        <w:t>En l’espèce, la décision querellée - datée du 31 octobre 2023 - ayant été expédiée sous simple courrier A, il est impossible de déterminer précisément la date de sa notification à la recourante, dont le fardeau de la preuve incombe à l’autorité intimée. Compte tenu de la jurisprudence rappelée ci-dessus, le tribunal retiendra dès lors que le recours, déposée le 6 décembre 2023, est recevable sous cet angle, étant en outre précisé que l’autorité intimée, qui s’en rapporte à justice quant à la recevabilité du recours, ne prétend pas le contraire. Partant, interjeté par ailleurs dans les formes prescrites devant la juridiction compétente, le recours est ainsi formellement recevable au sens des art. 60 et 62 à 65 LPA.</w:t>
      </w:r>
    </w:p>
    <w:p>
      <w:r>
        <w:rPr>
          <w:b/>
        </w:rPr>
        <w:t>E. 5</w:t>
      </w:r>
    </w:p>
    <w:p>
      <w:r>
        <w:t>La recourante sollicite la tenue d’une audience de comparution personnelle des parties ainsi que l’audition de M. L______ en qualité de témoin.</w:t>
      </w:r>
    </w:p>
    <w:p>
      <w:r>
        <w:rPr>
          <w:b/>
        </w:rPr>
        <w:t>E. 6</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w:t>
      </w:r>
    </w:p>
    <w:p>
      <w:r>
        <w:t>- 11/21 - A/4091/2023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w:t>
      </w:r>
    </w:p>
    <w:p>
      <w:r>
        <w:rPr>
          <w:b/>
        </w:rPr>
        <w:t>E. 7</w:t>
      </w:r>
    </w:p>
    <w:p>
      <w:r>
        <w:t>En l'espèce, le tribunal estime que la recourante a eu la possibilité de faire valoir ses arguments par le biais des écritures usuelles et de produire tout moyen de preuve qu’elle estimait utile en annexe de celles-ci. Ainsi, il convient de retenir que le dossier contient les éléments suffisants et nécessaires, tels qu'ils ressortent des écritures des parties, des pièces produites et du dossier de l'autorité intimée, pour statuer sur le litige. Quant à l’audition de M. L______, la recourante n’a pas démontré que ce dernier pourrait apporter, dans le cadre d’une audition, des éléments supplémentaires par rapport à l’attestation écrite rédigée par ses soins le 15 mars 2024, soit très récemment, et versée au dossier en annexe de la réplique. Partant, il n’apparaît pas nécessaire de procéder aux demandes d'instruction, en soi non obligatoires, requises.</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- 12/21 - A/4091/2023</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Dans un premier grief d’ordre formel, la recourante se prévaut d’une violation de son droit d’être entendue, sous l’angle du défaut de motivation de la décision attaquée et eu égard à l’absence de production du préavis de la commission tripartite sur lequel se fondait cette décision.</w:t>
      </w:r>
    </w:p>
    <w:p>
      <w:r>
        <w:rPr>
          <w:b/>
        </w:rPr>
        <w:t>E. 11</w:t>
      </w:r>
    </w:p>
    <w:p>
      <w:r>
        <w:t>Le droit d'être entendu, tel que défini plus haut, est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dès lors être examiné en premier lieu (ATF 137 I 195 consid. 2.2).</w:t>
      </w:r>
    </w:p>
    <w:p>
      <w:r>
        <w:t>Il implique notamment, pour l’autorité, l’obligation de motiver sa décision (ATF 143 III 65 consid. 5.2 ; arrêt du Tribunal fédéral 1C_478/2017 du 8 mai 2018 consid. 2.1). L’art. 46 al. 1 LPA fait de plus obligation aux autorités administratives de rendre des décisions motivées.</w:t>
      </w:r>
    </w:p>
    <w:p>
      <w:r>
        <w:rPr>
          <w:b/>
        </w:rPr>
        <w:t>E. 12</w:t>
      </w:r>
    </w:p>
    <w:p>
      <w:r>
        <w:t>Selon une jurisprudence constante, l’obligation de motiver n’impose pas à l’autorité d’exposer et de discuter tous les faits, moyens de preuves et griefs invoqués par les parties (ATF 141 V 557 consid. 3.2.1 ; arrêt du Tribunal fédéral 1C_298/2017 du 30 avril 2018 consid. 2.1). Il suffit, au regard de ce droit, qu’elle mentionne, au moins brièvement, les motifs qui l’ont guidée et sur lesquels elle a fondé sa décision, de manière à ce que les intéressés puissent se rendre compte de la portée de celle- ci et la déférer à l’instance supérieure en connaissance de cause (ATF 143 III 65 consid. 5.2).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 Il n’y a ainsi violation du droit d’être entendu que si l’autorité ne satisfait pas à son devoir minimum d’examiner les problèmes pertinents (ATF 134 I 83 consid. 4.1 ; arrêt du Tribunal fédéral 2C_56/2015 du 13 mai 2015 consid. 2.1). Il ressort toutefois de la jurisprudence du Tribunal fédéral que la violation du droit d’être entendu peut être réparée dans le cadre de la procédure de recours lorsque l’autorité de recours exerce le même pouvoir d’examen que l’autorité de décision (ATF 129 II 129 c. 2.2.3 p. 135, JdT 2005 IV 300; ATF 126 I 68 c. 2 p. 72, RDAF 2001 I 586; ATF 124 II 132 c. 2d p. 138). La réparation du vice doit toutefois</w:t>
      </w:r>
    </w:p>
    <w:p>
      <w:r>
        <w:t>- 13/21 - A/4091/2023 demeurer exceptionnelle, en particulier lorsqu’il s’agit d’une violation grave, surtout parce que l’exercice différé du droit d’être entendu ne constitue le plus souvent qu’un succédané imparfait de l’audition préalable qui a été omise (ATF 116 V 182 c. 3c p. 187; ATE 105 la 193 c. 2b/cc p. 197). En outre, elle n’entre en considération que si la personne touchée ne subit aucun préjudice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129 I 129 c. 2.2.3 p. 135, JdT 2005 IV 300).</w:t>
      </w:r>
    </w:p>
    <w:p>
      <w:r>
        <w:rPr>
          <w:b/>
        </w:rPr>
        <w:t>E. 13</w:t>
      </w:r>
    </w:p>
    <w:p>
      <w:r>
        <w:t>Conformément à l’art. 4 al. 1 du règlement d’application de la loi d'application de la loi fédérale sur les étrangers du 16 juin 1988 (RaLEtr - E 2 10.01), la commission tripartite pour l'économie, dépendant du conseil de surveillance du marché de l'emploi, instituée par la loi sur le service de l'emploi et la location de services, du</w:t>
      </w:r>
    </w:p>
    <w:p>
      <w:r>
        <w:rPr>
          <w:b/>
        </w:rPr>
        <w:t>E. 18</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19</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20</w:t>
      </w:r>
    </w:p>
    <w:p>
      <w:r>
        <w:t>En raison de sa formulation potestative, l'art. 18 LEI ne confère aucun droit (arrêts du Tribunal fédéral 2C_798/2018 du 17 septembre 2018 consid. 4.1 ; 2D_4/2015 du 23 janvier 2015 consid. 3) et les autorités compétentes bénéficient d'un large pouvoir d'appréciation dans le cadre de son application (arrêts du Tribunal</w:t>
      </w:r>
    </w:p>
    <w:p>
      <w:r>
        <w:t>- 15/21 - A/4091/2023 administratif fédéral C-5184/2014 du 31 mars 2016 consid. 5.1 ; C-5420/2012 du 15 janvier 2014 consid. 6.2).</w:t>
      </w:r>
    </w:p>
    <w:p>
      <w:r>
        <w:rPr>
          <w:b/>
        </w:rPr>
        <w:t>E. 21</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main-d’œuvre étrangère en cause est susceptible de répondre sur le long terme (arrêts du Tribunal administratif fédéral F-4226/207 du 8 octobre 2019 consid. 4.5.1 ; C-5912/2011 du 26 août 2015 consid. 7.1).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(ATA/896/2018 du 4 septembre 2018 consid. 6b ; Minh Son NGUYEN, Cesla AMARELLE, Code annoté de droit des migrations, vol. 2 : LEtr, 2017, p. 145 s. et les références citées). Selon les directives et circulaires du secrétariat d'État aux migrations Séjour avec activité lucrative, état au 1er avril 2024 (ci-après : directives LEI), ch. 4.3.1, qui ne lient pas le juge, mais dont celui-ci peut tenir compte pour assurer une application uniforme de la loi envers chaque administré, pourvu qu'elles respectent le sens et le but de la norme applicable (ATA/1094/2019 du 25 juin 2019 ; ATA/896/2018 du 4 septembre 2018), il convient de tenir compte en particulier de la situation sur le marché du travail, de l'évolution économique durable et de la capacité de l'étranger concerné à s'intégrer. Il ne s'agit pas de maintenir une infrastructure avec une main- 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;C-3518/2011 du 16 mai 2013 consid. 5.1 ; ATA/1280/2015 du 1er décembre 2015 consid. 12 ; ATA/940/2015 du 15 septembre 2015 consid. 7c).</w:t>
      </w:r>
    </w:p>
    <w:p>
      <w:r>
        <w:rPr>
          <w:b/>
        </w:rPr>
        <w:t>E. 22</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w:t>
      </w:r>
    </w:p>
    <w:p>
      <w:r>
        <w:t>- 16/21 - A/4091/2023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 du Tribunal administratif fédéral C-5184/2014 du 31 mars 2016 consid. 5.3.1).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 ; arrêt du Tribunal administratif fédéral F-3286/2017 du 18 décembre 2017 consid. 6.2).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(ATA/1094/2019 du</w:t>
      </w:r>
    </w:p>
    <w:p>
      <w:r>
        <w:rPr>
          <w:b/>
        </w:rPr>
        <w:t>E. 25</w:t>
      </w:r>
    </w:p>
    <w:p>
      <w:r>
        <w:t>Les conditions posées par l’art. 18 LEI étant cumulatives, il n’est pas nécessaire d’examiner si les autres critères prévus par cette disposition légale sont remplis. Toutefois, à titre superfétatoire, le tribunal constate que l’intérêt économique de la Suisse en lien avec l’engagement de M. C______ n’a pas été démontré. En effet, d’après les explications de la recourante, il apparaît qu’elle a procédé à d’importants investissements financiers dans le domaine du BIM afin de pouvoir développer cette technique qui, selon elle, deviendra indispensable dans les années à venir. Elle précise également que sans l’utilisation du BIM, elle ne pourra accéder à certains projets et études spécifiques. Toutefois, ces arguments ne correspondent pas à l'acception étroite de l'intérêt économique de la Suisse au sens de l'art. 18 let. a LEI. Il en va de même quant à son intérêt à ce que ses autres employés puissent être formés à la technologie BIM par M. C______. En effet, rien ne démontre que l’emploi de ce dernier pourrait réellement avoir des retombées économiques positives pour la Suisse, que ce soit en termes de création de places de travail ou de diversification de l’économie régionale, étant rappelé que l’intérêt économique de la Suisse ne doit pas être confondu avec celui de l’employeur à engager une personne particulière. Le fait que M. C______ soit sollicité pour participer, en tant qu’expert, à des séances de la SIA ou que ce dernier ait contribué à la rédaction du « Guide des règles de base pour les modèles numériques BIM » dans sa version 2024 ne permet pas de parvenir à un autre résultat, ces éléments ne démontrant pas l’existence d’un intérêt économique pour la Suisse au sens de la jurisprudence applicable. L’attestation établie par M. L______ le 15 mars 2024 va d’ailleurs dans le même sens. Celle-ci précise en effet que M. C______ contribue fortement au succès de la</w:t>
      </w:r>
    </w:p>
    <w:p>
      <w:r>
        <w:t>- 20/21 - A/4091/2023 recourante qui est, grâce au travail de ce dernier, en mesure de répondre avec succès à des appels d’offre importants prenant en compte l’utilisation de la méthode BIM. Quant au développement et au rayonnement du canton auquel M. C______ contribuerait, selon M. L______, il ne ressort d’aucun élément au dossier. L’on peine en effet à distinguer quel intérêt économique – au sens de la jurisprudence rendue en lien avec l’art. 18 LEI - pourrait découler pour le canton de l’engagement de M. C______, indépendamment de l’utilisation de BIM, déjà en place au sein de la recourante comme vu supra, notamment par le biais de M. K______. En outre, la technologie BIM fait désormais l’objet en Suisse, depuis 2021, selon les propres explications de la recourante, d’une formation spécifique menant à l’obtention d’un Certificate of advanced studies en « coordination BIM HEIA-FR-HES- SO/E______ », de sorte que cette technologie est, en tout état et indépendamment de l’engagement de M. C______, destinée à se développer en Suisse. Partant, force est de constater que les conditions posées par l’art. 18 LEI ne sont in casu pas remplies.</w:t>
      </w:r>
    </w:p>
    <w:p>
      <w:r>
        <w:rPr>
          <w:b/>
        </w:rPr>
        <w:t>E. 26</w:t>
      </w:r>
    </w:p>
    <w:p>
      <w:r>
        <w:t>En conclusion, eu égard aux développements qui précèdent, le tribunal considère que la décision querellée ne viole pas le droit fédéral. C’est ainsi à bon droit que l’autorité intimée a refusé de délivrer l’autorisation sollicitée. Mal fondé, le recours doit être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versée à la suite du dépôt du recours. 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secrétariat d'État aux migrations.</w:t>
      </w:r>
    </w:p>
    <w:p>
      <w:r>
        <w:t>- 21/21 - A/4091/2023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