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JTAPI/454/2024 vom 9. April 2024</w:t>
      </w:r>
    </w:p>
    <w:p>
      <w:r>
        <w:t>GE Cour de justice, 2024-04-09, FR</w:t>
      </w:r>
    </w:p>
    <w:p>
      <w:r>
        <w:rPr>
          <w:b/>
        </w:rPr>
        <w:t xml:space="preserve">Quelle: </w:t>
      </w:r>
      <w:r>
        <w:t>https://mcp.opencaselaw.ch/entscheid/ge_gerichte_JTAPI_454_2024</w:t>
      </w:r>
    </w:p>
    <w:p>
      <w:r>
        <w:t>FR: GE_GERICHTE JTAPI/454/2024 du 9 avril 2024</w:t>
      </w:r>
    </w:p>
    <w:p>
      <w:r>
        <w:t>IT: GE_GERICHTE JTAPI/454/2024 del 9 aprile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Selon la jurisprudence, le tribunal est compétent pour statuer sur les demandes de restitution du délai pour le paiement de l'avance de frais même lorsque le procès a pris fin et que le jugement cantonal est entré en force (arrêt du Tribunal fédéral 2C_301/2013 du 17 décembre 2013 consid. 7.1 ; ATA/1375/2023 du 20 décembre 2023 ; ATA/1069/2023 du 19 septembre 2023).</w:t>
      </w:r>
    </w:p>
    <w:p>
      <w:r>
        <w:rPr>
          <w:b/>
        </w:rPr>
        <w:t>E. 2</w:t>
      </w:r>
    </w:p>
    <w:p>
      <w:r>
        <w:t>Partant, le tribunal peut entrer en matière sur la demande de restitution de délai formulée par M. A______ quand bien même il a déjà prononcé l'irrecevabilité du recours.</w:t>
      </w:r>
    </w:p>
    <w:p>
      <w:r>
        <w:rPr>
          <w:b/>
        </w:rPr>
        <w:t>E. 3</w:t>
      </w:r>
    </w:p>
    <w:p>
      <w:r>
        <w:t>Selon l'art. 16 al. 2 de la loi sur la procédure administrative du 12 septembre 1985 (LPA-GE - E 5 10), le délai imparti par l’autorité peut être prolongé pour des motifs fondés si la partie en fait la demande avant son expiration.</w:t>
      </w:r>
    </w:p>
    <w:p>
      <w:r>
        <w:rPr>
          <w:b/>
        </w:rPr>
        <w:t>E. 4</w:t>
      </w:r>
    </w:p>
    <w:p>
      <w:r>
        <w:t>La restitution pour inobservation d’un délai imparti par l’autorité peut être accordée si le requérant ou son mandataire a été empêché sans sa faute d’agir dans le délai fixé. La demande motivée doit être présentée dans les 10 jours à compter de celui où l’empêchement a cessé (art. 16 al. 3 LPA).</w:t>
      </w:r>
    </w:p>
    <w:p>
      <w:r>
        <w:rPr>
          <w:b/>
        </w:rPr>
        <w:t>E. 5</w:t>
      </w:r>
    </w:p>
    <w:p>
      <w:r>
        <w:t>Selon la jurisprudence, il convient d’appliquer par analogie la notion de cas de force majeure de l’art. 16 al. 1 LPA à l’art. 16 al. 3 LPA afin d’examiner si l’intéressé a été empêché sans sa faute d’agir dans le délai fixé (ATA/1096/2018 du 16 octobre 2018 consid. 3b ; ATA/727/2018 du 10 juillet 2018 consid. 2b ; ATA/916/2015 du</w:t>
      </w:r>
    </w:p>
    <w:p>
      <w:r>
        <w:rPr>
          <w:b/>
        </w:rPr>
        <w:t>E. 8</w:t>
      </w:r>
    </w:p>
    <w:p>
      <w:r>
        <w:t>Il découle de ce qui précède que la demande de restitution de délai est rejetée.</w:t>
      </w:r>
    </w:p>
    <w:p>
      <w:r>
        <w:rPr>
          <w:b/>
        </w:rPr>
        <w:t>E. 9</w:t>
      </w:r>
    </w:p>
    <w:p>
      <w:r>
        <w:t>Au vu des circonstances, il sera renoncé exceptionnellement à la perception d’un émolument pour les frais de la présente procédure.</w:t>
      </w:r>
    </w:p>
    <w:p>
      <w:r>
        <w:rPr>
          <w:b/>
        </w:rPr>
        <w:t>E. 10</w:t>
      </w:r>
    </w:p>
    <w:p>
      <w:r>
        <w:t>Aucune indemnité de procédure ne sera allouée (art. 87 al. 2 LPA).</w:t>
      </w:r>
    </w:p>
    <w:p>
      <w:r>
        <w:rPr>
          <w:b/>
        </w:rPr>
        <w:t>E. 11</w:t>
      </w:r>
    </w:p>
    <w:p>
      <w:r>
        <w:t>En vertu des art. 89 al. 2 et 111 al. 2 de la loi sur le Tribunal fédéral du 17 juin 2005 (LTF - RS 173.110), le présent jugement sera communiqué au secrétariat d'État aux migrations.</w:t>
      </w:r>
    </w:p>
    <w:p>
      <w:r>
        <w:t>- 4/4 -</w:t>
      </w:r>
    </w:p>
    <w:p>
      <w:r>
        <w:t>A/630/2024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