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JTAPI/452/2023 vom 27. April 2023</w:t>
      </w:r>
    </w:p>
    <w:p>
      <w:r>
        <w:t>GE Cour de justice, 2023-04-27, FR</w:t>
      </w:r>
    </w:p>
    <w:p>
      <w:r>
        <w:rPr>
          <w:b/>
        </w:rPr>
        <w:t xml:space="preserve">Quelle: </w:t>
      </w:r>
      <w:r>
        <w:t>https://mcp.opencaselaw.ch/entscheid/ge_gerichte_JTAPI_452_2023</w:t>
      </w:r>
    </w:p>
    <w:p>
      <w:r>
        <w:t>FR: GE_GERICHTE JTAPI/452/2023 du 27 avril 2023</w:t>
      </w:r>
    </w:p>
    <w:p>
      <w:r>
        <w:t>IT: GE_GERICHTE JTAPI/452/2023 del 27 aprile 2023</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En application de leur droit d’être entendu garanti par l’art. 29 al. 2 de la Constitution fédérale de la Confédération suisse du 18 avril 1999 (Cst. - RS 101),</w:t>
      </w:r>
    </w:p>
    <w:p>
      <w:r>
        <w:t>- 7/15 - A/2485/2022 les recourants demandent tout d’abord leur audition afin de démontrer que les conditions de l’octroi d’une autorisation de séjour sont remplies. Ils n’expliquent cependant pas en quoi les pièces figurant au dossier ne donneraient pas une idée suffisamment précise et exacte des éléments factuels sur la base desquels le tribunal doit conduire son raisonnement en application des dispositions légales pertinentes. Comme on le verra ci-dessous, le tribunal se fondera entièrement sur les documents produits par les recourants, quand bien même il en tirera des conclusions différentes.</w:t>
      </w:r>
    </w:p>
    <w:p>
      <w:r>
        <w:rPr>
          <w:b/>
        </w:rPr>
        <w:t>E. 3.2</w:t>
      </w:r>
    </w:p>
    <w:p>
      <w:r>
        <w:t>; 136 I 229 consid. 5.2 ; cf. aussi ATA/967/2016 du 15 novembre 2016 consid. 2b). L'autorité peut donc passer sous silence ce qui, sans arbitraire, lui paraît à</w:t>
      </w:r>
    </w:p>
    <w:p>
      <w:r>
        <w:t>- 8/15 - A/2485/2022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4</w:t>
      </w:r>
    </w:p>
    <w:p>
      <w:r>
        <w:t>Par conséquent, il n’y a pas lieu de procéder à l’audition des recourants.</w:t>
      </w:r>
    </w:p>
    <w:p>
      <w:r>
        <w:rPr>
          <w:b/>
        </w:rPr>
        <w:t>E. 5</w:t>
      </w:r>
    </w:p>
    <w:p>
      <w:r>
        <w:t>Dans un grief de nature formelle qu'il convient d'examiner en premier, les recourants semblent tout d'abord soutenir que la décision litigieuse violerait leur droit d'être entendu, car elle reprendrait succinctement les mêmes motifs que ceux sur lesquels se fondait la décision du 17 avril 2022, alors que la situation aurait entre-temps évolué.</w:t>
      </w:r>
    </w:p>
    <w:p>
      <w:r>
        <w:rPr>
          <w:b/>
        </w:rPr>
        <w:t>E. 6</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Il implique aussi,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w:t>
      </w:r>
    </w:p>
    <w:p>
      <w:r>
        <w:rPr>
          <w:b/>
        </w:rPr>
        <w:t>E. 7</w:t>
      </w:r>
    </w:p>
    <w:p>
      <w:r>
        <w:t>Il ressort toutefois de la jurisprudence du Tribunal fédéral que la violation du droit d’être entendu peut être réparée dans le cadre de la procédure de recours lorsque l’autorité de recours exerce le même pouvoir d’examen que l’autorité de décision (ATF 129 II 129 c. 2.2.3 p. 135, JdT 2005 IV 300; ATF 126 I 68 c. 2 p. 72, RDAF 2001 I 586; ATF 124 II 132 c. 2d p. 138; Albertini, op. cit., p. 461). La réparation du vice doit toutefois demeurer exceptionnelle, en particulier lorsqu’il s’agit d’une violation grave, surtout parce que l’exercice différé du droit d’être entendu ne constitue le plus souvent qu’un succédané imparfait de l’audition préalable qui a été omise (ATE 116 V 182 c. 3c p. 187; ATE 105 la 193 c. 2b/cc p. 197). En outre, elle n’entre en considération que si la personne touchée ne subit aucun préjudice dans l’exercice différé du droit d’être entendu et dans la réparation du vice. Il ne serait en aucun cas admissible que l’autorité parvienne, par le biais d’une violation du droit d’être entendu, à un résultat qu’elle n’aurait jamais obtenu en procédant de manière correcte (ATF 129 I 129 c. 2.2.3 p. 135, JdT 2005 IV 300).</w:t>
      </w:r>
    </w:p>
    <w:p>
      <w:r>
        <w:rPr>
          <w:b/>
        </w:rPr>
        <w:t>E. 8</w:t>
      </w:r>
    </w:p>
    <w:p>
      <w:r>
        <w:t>En l'occurrence, la décision litigieuse contient en soi une motivation suffisante pour comprendre les raisons pour lesquelles l'autorité intimée a refusé la requête qui lui était soumise, ce qui ressort d'ailleurs de l'argumentation développée par les recourant dans leurs écritures, où ils montrent qu'ils savaient pertinemment quels étaient les points qu'ils devaient contester. Le fait que des circonstances nouvelles (en particulier l'augmentation du salaire du recourant) soient intervenues dans l’intervalle de temps entre les deux décisions n'empêche pas en soi la possibilité de fonder la seconde sur les mêmes arguments juridiques que la première, si l'autorité intimée considère que ces nouveaux éléments n'emportent pas une appréciation juridique différente de la situation. En tout état, les échanges auxquelles les parties ont pu procéder dans la présente procédure ont largement permis à chacune d'elles d’exprimer clairement sa position, de sorte qu'une éventuelle violation du droit d'être entendu pour les motifs évoqués plus haut serait en tout état réparée.</w:t>
      </w:r>
    </w:p>
    <w:p>
      <w:r>
        <w:rPr>
          <w:b/>
        </w:rPr>
        <w:t>E. 9</w:t>
      </w:r>
    </w:p>
    <w:p>
      <w:r>
        <w:t>Ce grief sera donc rejeté.</w:t>
      </w:r>
    </w:p>
    <w:p>
      <w:r>
        <w:rPr>
          <w:b/>
        </w:rPr>
        <w:t>E. 10</w:t>
      </w:r>
    </w:p>
    <w:p>
      <w:r>
        <w:t>Sur le fond, les recourants soutiennent que contrairement à ce que retient la décision litigieuse, l'engagement du recourant auprès de la recourante répondrait aux intérêts économiques de la Suisse, respecterait l'ordre de priorité et se ferait aux conditions salariales usuelles.</w:t>
      </w:r>
    </w:p>
    <w:p>
      <w:r>
        <w:t>- 9/15 - A/2485/2022</w:t>
      </w:r>
    </w:p>
    <w:p>
      <w:r>
        <w:rPr>
          <w:b/>
        </w:rPr>
        <w:t>E. 11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12</w:t>
      </w:r>
    </w:p>
    <w:p>
      <w:r>
        <w:t>En l’occurrence, le recourant étant ressortissant de Tunisie, la demande de permis déposée en sa faveur ne peut être examinée que sous l’angle de la LEI. En effet, dès lors qu’il n’est pas un « ressortissant d’une partie contractante », il ne peut se prévaloir d’aucun droit découlant de l’ALCP (cf. art. 2 ALCP). Pour le surplus, le fait qu’il réside actuellement à Genève à l'échéance de la période de stage qu'il a pu effectuer auprès de la recourante ne lui confère aucun droit quant à une prise d'activité. Il doit donc être considéré comme un nouveau demandeur d'emploi.</w:t>
      </w:r>
    </w:p>
    <w:p>
      <w:r>
        <w:rPr>
          <w:b/>
        </w:rPr>
        <w:t>E. 13</w:t>
      </w:r>
    </w:p>
    <w:p>
      <w:r>
        <w:t>Il convient dès lors d'examiner si les conditions nécessaires à l'octroi d'une autorisation, laquelle impliquerait le prélèvement d'une unité du contingent cantonal, sont remplies.</w:t>
      </w:r>
    </w:p>
    <w:p>
      <w:r>
        <w:rPr>
          <w:b/>
        </w:rPr>
        <w:t>E. 14</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Conformément à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15</w:t>
      </w:r>
    </w:p>
    <w:p>
      <w:r>
        <w:t>En raison de sa formulation potestative, l'art. 18 LEI ne confère aucun droit à la délivrance d'une autorisation de séjour pour activité lucrative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w:t>
      </w:r>
    </w:p>
    <w:p>
      <w:r>
        <w:t>- 10/15 - A/2485/2022 ATA/1094/2019 du 25 juin 2019 consid. 5b ; ATA/1368/2018 du 18 décembre 2018 consid. 3b). De même, l'employeur ne dispose d'aucun droit à engager le candidat de son choix en vue de l'exercice d'une activité lucrative en Suisse (cf. not. arrêt du Tribunal fédéral 2D_57/2015 du 21 septembre 2015 consid. 3 ; arrêt du Tribunal administratif fédéral C-5184/2014 du 31 mars 2016 consid. 3 ; ATA/1094/2019 du 25 juin 2019 consid. 5b).</w:t>
      </w:r>
    </w:p>
    <w:p>
      <w:r>
        <w:rPr>
          <w:b/>
        </w:rPr>
        <w:t>E. 16</w:t>
      </w:r>
    </w:p>
    <w:p>
      <w:r>
        <w:t>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Il peut fixer un nombre maximum d'autorisations pour la Confédération et pour chaque canton (al. 2). Le SEM peut, dans les limites du contingent de la Confédération, octroyer lui- même des autorisations initiales de courte durée ou de séjour ou relever le contingent d'un canton. Il tient compte des besoins du canton et des intérêts économiques du pays (al. 3).</w:t>
      </w:r>
    </w:p>
    <w:p>
      <w:r>
        <w:rPr>
          <w:b/>
        </w:rPr>
        <w:t>E. 17</w:t>
      </w:r>
    </w:p>
    <w:p>
      <w:r>
        <w:t>L’art. 20 LEI prévoit le principe du contingentement des autorisations de séjour délivrées en vue de l’exercice d’une activité lucrative pour les ressortissants des États dits tiers (cf.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est de quatre-vingt-onze pour 2022.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18</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w:t>
      </w:r>
    </w:p>
    <w:p>
      <w:r>
        <w:t>- 11/15 - A/2485/2022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C- 6198/2014 du 18 mai 2015 consid. 6.1 ; C-857/2013 consid. 5).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 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w:t>
      </w:r>
    </w:p>
    <w:p>
      <w:r>
        <w:t>- 12/15 - A/2485/2022 pertinents tels que des séjours à l'étranger, des aptitudes linguistiques ou techniques qui ne sont pas indispensables pour exercer l'activité en question, etc.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w:t>
      </w:r>
    </w:p>
    <w:p>
      <w:r>
        <w:rPr>
          <w:b/>
        </w:rPr>
        <w:t>E. 19</w:t>
      </w:r>
    </w:p>
    <w:p>
      <w:r>
        <w:t>Selon l’art. 22 LEI, un étranger ne peut être admis en vue de l'exercice d'une activité lucrative qu'aux conditions de rémunération et de travail usuelles du lieu, de la profession et de la branche.</w:t>
      </w:r>
    </w:p>
    <w:p>
      <w:r>
        <w:rPr>
          <w:b/>
        </w:rPr>
        <w:t>E. 20</w:t>
      </w:r>
    </w:p>
    <w:p>
      <w:r>
        <w:t>En l'occurrence, s'agissant tout d'abord de l'intérêt économique que représenterait pour la Suisse l'engagement du recourant, l'argumentation des recourants confond manifestement cet intérêt avec celui que représenterait certainement cet engagement pour la recourante. Non seulement, comme l'a relevé avec pertinence l'autorité intimée, la situation financière de la recourante, dont les résultats se sont soldés par des pertes de plus de CHF 153'000.- en 2020 et de plus de CHF 350'000.- en 2021, ne représente pas un intérêt économique manifeste pour la Suisse, mais encore, il paraît très peu vraisemblable que l'intérêt que pourrait potentiellement constituer économiquement pour la Suisse une start-up qui comptait 21 collaborateurs en avril 2022 repose de façon prépondérante sur l'un de ces collaborateurs en particulier, qui occupait jusque-là un poste de stagiaire.</w:t>
      </w:r>
    </w:p>
    <w:p>
      <w:r>
        <w:rPr>
          <w:b/>
        </w:rPr>
        <w:t>E. 21</w:t>
      </w:r>
    </w:p>
    <w:p>
      <w:r>
        <w:t>S'agissant ensuite des conditions de rémunération, c'est jusqu'ici sans que l'on comprenne clairement les moyens qu'ils invoquent que les recourants soutiennent que le salaire de CHF 80'000.- par an correspondrait aux conditions de rémunération et de travail usuelles du lieu, de la profession et de la branche. Or, comme l'a expliqué l'autorité intimée, le calculateur en ligne du secrétariat d'État à l'économie (SECO) (https://www.detachement.admin.ch/Calculateur-de-</w:t>
      </w:r>
    </w:p>
    <w:p>
      <w:r>
        <w:t>- 13/15 - A/2485/2022 salaires/lohnberechnung ; consulté le 26 avril 2023) indique, dans le domaine des services financiers, pour un employé âgé de 24 ans ayant une année de service, de formation universitaire, sans fonction de cadre, engagé en tant que spécialiste en administration d'entreprise selon un horaire hebdomadaire de 45 heures, que le salaire médian à Genève est de CHF 8'420.- et qu'un salaire de CHF 7'680.- appartient au quartile inférieur. Par conséquent, le salaire annuel de CHF 80'000.- proposé au recourant représente un salaire mensuel de CHF 6'666.- qui est inférieur non seulement au salaire médian, mais également au salaire moyen du quartile inférieur.</w:t>
      </w:r>
    </w:p>
    <w:p>
      <w:r>
        <w:rPr>
          <w:b/>
        </w:rPr>
        <w:t>E. 22</w:t>
      </w:r>
    </w:p>
    <w:p>
      <w:r>
        <w:t>Enfin, s'agissant du respect de l'ordre de priorité, il est établi par pièces que la recourante a effectué ses recherches de candidats pour un poste de Customer Care Assistant au début de l'année 2021, lequel ne correspond pas au poste de Customer Service Analyst pour lequel la recourante a déposé sa demande d'autorisation le 4 mars 2022. Il n'est donc pas possible de se fonder sur ces recherches-là pour prétendre qu'il ne lui était pas possible de trouver des candidats indigènes ou des candidats ressortissants de l'UE/AELE. Qui plus est, hormis le fait que la recourante n'a pas annoncé le poste à l'office cantonal de l'emploi, elle n'a pas réellement démontré dans la présente procédure qu'elle avait fait les efforts nécessaires pour trouver des candidats valables à l'échelle suisse ou européenne. On ignore en particulier à quels réseaux se sont étendues ses recherches et la durée pendant laquelle elle les a poursuivies. Il apparaît en tous les cas peu plausible qu'à l'échelle suisse et européenne, il ne soit pas possible d'attirer les candidatures d'autres personnes arabophones et disposant de qualifications équivalentes à celles du recourant. En revanche, le fait que la recourante soit contrainte d’offrir un salaire sensiblement inférieur au salaire médian auquel peut prétendre une personne dans la même situation que le recourant peut expliquer dans une certaine mesure l’insuccès des recherches entreprises par la recourante. Par ailleurs, l'argumentation développée par cette dernière au sujet du fait qu'en devant renoncer à la collaboration du recourant, elle s'exposerait à l'obligation de consacrer à nouveau un temps précieux à la formation d'un ou d'une remplaçante, signifie qu'elle-même n'exclut pas qu'il soit possible de trouver cette personne, mais également qu'en réalité, c'est avant tout un simple calcul d'opportunité qui l'amène à souhaiter pouvoir conserver la collaboration du recourant.</w:t>
      </w:r>
    </w:p>
    <w:p>
      <w:r>
        <w:rPr>
          <w:b/>
        </w:rPr>
        <w:t>E. 23</w:t>
      </w:r>
    </w:p>
    <w:p>
      <w:r>
        <w:t>Au vu de ce qui précède, il apparaît que c'est avec raison que l'autorité intimée a retenu que les conditions d'octroi d'une autorisation de séjour avec activité lucrative n'étaient réalisées ni sous l'angle de l'intérêt économique de la Suisse, ni sous celui du respect de l'ordre de priorité ou encore des conditions de rémunération.</w:t>
      </w:r>
    </w:p>
    <w:p>
      <w:r>
        <w:rPr>
          <w:b/>
        </w:rPr>
        <w:t>E. 24</w:t>
      </w:r>
    </w:p>
    <w:p>
      <w:r>
        <w:t>Le recours sera ainsi rejeté.</w:t>
      </w:r>
    </w:p>
    <w:p>
      <w:r>
        <w:rPr>
          <w:b/>
        </w:rPr>
        <w:t>E. 25</w:t>
      </w:r>
    </w:p>
    <w:p>
      <w:r>
        <w:t>En application des art. 87 al. 1 LPA et 1 et 2 du règlement sur les frais, émoluments et indemnités en procédure administrative du 30 juillet 1986 (RFPA -</w:t>
      </w:r>
    </w:p>
    <w:p>
      <w:r>
        <w:t>- 14/15 - A/2485/2022 E 5 10.03), les recourants, qui succombent, sont condamnés pris solidairement, au paiement d’un émolument s'élevant à CHF 800.- ; il est partiellement couvert par l’avance de frais de CHF 500.- versée à la suite du dépôt du recours. Vu l’issue du litige, aucune indemnité de procédure ne sera allouée (art. 87 al. 2 LPA).</w:t>
      </w:r>
    </w:p>
    <w:p>
      <w:r>
        <w:rPr>
          <w:b/>
        </w:rPr>
        <w:t>E. 26</w:t>
      </w:r>
    </w:p>
    <w:p>
      <w:r>
        <w:t>En vertu des art. 89 al. 2 et 111 al. 2 de la loi sur le Tribunal fédéral du 17 juin 2005 (LTF - RS 173.110), le présent jugement sera communiqué au secrétariat d'État aux migrations.</w:t>
      </w:r>
    </w:p>
    <w:p>
      <w:r>
        <w:t>- 15/15 - A/2485/2022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