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JTAPI/452/2021 vom 29. Mai 2020</w:t>
      </w:r>
    </w:p>
    <w:p>
      <w:r>
        <w:t>GE Cour de justice, 2020-05-29, FR</w:t>
      </w:r>
    </w:p>
    <w:p>
      <w:r>
        <w:rPr>
          <w:b/>
        </w:rPr>
        <w:t xml:space="preserve">Quelle: </w:t>
      </w:r>
      <w:r>
        <w:t>https://mcp.opencaselaw.ch/entscheid/ge_gerichte_JTAPI_452_2021</w:t>
      </w:r>
    </w:p>
    <w:p>
      <w:r>
        <w:t>FR: GE_GERICHTE JTAPI/452/2021 du 29 mai 2020</w:t>
      </w:r>
    </w:p>
    <w:p>
      <w:r>
        <w:t>IT: GE_GERICHTE JTAPI/452/2021 del 29 maggio 2020</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LDE).</w:t>
      </w:r>
    </w:p>
    <w:p>
      <w:r>
        <w:rPr>
          <w:b/>
        </w:rPr>
        <w:t>E. 2</w:t>
      </w:r>
    </w:p>
    <w:p>
      <w:r>
        <w:t>Interjeté en temps utile et dans les formes prescrites devant la juridiction compétente, le recours est recevable au sens des art. 63 al. 1 et 65 de la loi sur la procédure administrative du 12 septembre 1985 (LPA - E 5 10).</w:t>
      </w:r>
    </w:p>
    <w:p>
      <w:r>
        <w:rPr>
          <w:b/>
        </w:rPr>
        <w:t>E. 3</w:t>
      </w:r>
    </w:p>
    <w:p>
      <w:r>
        <w:t>Les droits d’enregistrement sont un impôt qui frappe toute pièce, constatation, déclaration, condamnation, convention, transmission, cession et en général toute opération ayant un caractère civil ou judiciaire, dénommées dans la présente loi :</w:t>
      </w:r>
    </w:p>
    <w:p>
      <w:r>
        <w:t>- 5/10 - A/4288/2020 « actes et opérations », soumises soit obligatoirement soit facultativement à la formalité de l’enregistrement (art. 1 al. 1 LDE). Selon l’art. 3 let. h LDE, sont soumis obligatoirement à l’enregistrement les donations et autres avantages semblables que les dispositions du titre IV (donations entre vifs) assujettissent à cette obligation, sous réserve des donations faites aux personnes morales ayant leur siège en Suisse qui sont exonérées des impôts sur le bénéfice et sur le capital, en raison de leur but de service public, d’utilité publique, cultuel, à la Confédération, aux cantons, aux communes et à leurs établissements. Les donations de biens mobiliers faits postérieurement à la constitution de l’institution de prévoyance en faveur du personnel ne sont également soumis à aucun droit. Ainsi, sous réserve des exceptions susmentionnées,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w:t>
      </w:r>
    </w:p>
    <w:p>
      <w:r>
        <w:rPr>
          <w:b/>
        </w:rPr>
        <w:t>E. 4</w:t>
      </w:r>
    </w:p>
    <w:p>
      <w:r>
        <w:t>En vertu de l’art. 163 al. 1 LDE, les droits afférents à tous actes et opérations comportant translation de la propriété, de la nue-propriété ou de l’exercice de l’usufruit de biens meubles ou immeubles sont supportés par les nouveaux propriétaires ou titulaires. Les droits afférents à une soulte dans les actes d’échange sont à la charge du débiteur de celle-ci. L’alinéa 2 de cette disposition énonce que les droits afférents à tous les autres actes et opérations sont supportés par les parties auxquelles ces actes et opérations profitent. En matière de donations, le donateur est subsidiairement responsable du paiement des droits, intérêts et frais (art. 166 al. 2 LDE).</w:t>
      </w:r>
    </w:p>
    <w:p>
      <w:r>
        <w:rPr>
          <w:b/>
        </w:rPr>
        <w:t>E. 5</w:t>
      </w:r>
    </w:p>
    <w:p>
      <w:r>
        <w:t>La prise en charge de l’impôt sur les donations par le donateur lui-même constitue explicitement une donation dans de nombreux cantons et augmente l’impôt dans un calcul itératif (art. 99 al. 3 StG AI ; art. 144 al. 6 StG AR ; art. 24 al. 2 LSucc NE ; § 18 al. 3 ESchG TG ; § 151 al. 5 StG SG ; art. 10 ESchG SH ; § 181 al. 3 StG ZG ; § 24 al. 3 ESchG ZH). Il convient toutefois de distinguer le paiement involontaire de l’impôt sur les donations en raison d’une responsabilité. Dans ce cas, d’une part, l’intention nécessaire de faire une donation fait défaut ; d’autre part, la partie responsable a une prétention correspondante à transmettre l’impôt (même si cela risque d’être difficile à mettre en œuvre dans la plupart des cas de responsabilité) (Roman SIEBER/Markus OEHRLI, Kommentar zum Schweize- rischen Steuerrecht Erbschafts- und Schenkungssteuerrecht, 2020, n. 25, p. 150).</w:t>
      </w:r>
    </w:p>
    <w:p>
      <w:r>
        <w:t>- 6/10 - A/4288/2020</w:t>
      </w:r>
    </w:p>
    <w:p>
      <w:r>
        <w:rPr>
          <w:b/>
        </w:rPr>
        <w:t>E. 6</w:t>
      </w:r>
    </w:p>
    <w:p>
      <w:r>
        <w:t>Conformément aux dispositions précitées, le donateur qui prend volontairement à sa charge le paiement des droits de donation à la place du donataire effectue une seconde donation à concurrence du montant de l’impôt, étant précisé qu’il ne s’agit dans ce cas pas d’une situation de responsabilité solidaire du donateur pour le paiement des droits au sens de l’art. 166 al. 2 LDE. La nouvelle pratique de l’autorité intimée est ainsi conforme à la LDE, ce qui n’est en soi pas contesté.</w:t>
      </w:r>
    </w:p>
    <w:p>
      <w:r>
        <w:rPr>
          <w:b/>
        </w:rPr>
        <w:t>E. 7</w:t>
      </w:r>
    </w:p>
    <w:p>
      <w:r>
        <w:t>Le recourant requiert toutefois que cette nouvelle pratique ne lui soit pas appliquée.</w:t>
      </w:r>
    </w:p>
    <w:p>
      <w:r>
        <w:rPr>
          <w:b/>
        </w:rPr>
        <w:t>E. 8</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(arrêt du Tribunal administratif fédéral A-2901/2019 du 2 avril 2020 consid. 8.1 ; ATA/1174/2020 du 24 novembre 2020 consid. 8a).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 Lorsque ces motifs sont donnés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 arrêt du Tribunal fédéral 9C_283/2010 du 17 décembre 2010 consid. 4.2 ; arrêt du Tribunal administratif fédéral A-2901/2019 du 2 avril 2020 consid. 8.1). De jurisprudence constante, un changement de pratique non fondé sur une modification de la loi doit s’appliquer immédiatement à tous les cas pendants (ATF 122 I 57 consid. 3c ; arrêt du Tribunal fédéral I 411/06 du 4 décembre 2006 consid. 4.1.1). Cela étant, si un changement de pratique justifié vaut en général immédiatement et pour toutes les procédures pendantes, le droit à la protection de la bonne foi, qui découle de l’art. 9 de la Constitution fédérale de la Confédération</w:t>
      </w:r>
    </w:p>
    <w:p>
      <w:r>
        <w:t>- 7/10 - A/4288/2020 suisse du 18 avril 1999 (Cst. - RS 101), doit néanmoins être pris en considération et peut s’opposer à l’application immédiate de la nouvelle pratique lorsque celle-ci est défavorable à l’administré. Ainsi, selon les cas, la nouvelle pratique ne peut être appliquée qu’après avoir été préalablement annoncée ; il en va ainsi en matière de droits des parties dans la procédure (arrêt du Tribunal administratif fédéral A-2901/2019 du 2 avril 2020 consid. 8.2).</w:t>
      </w:r>
    </w:p>
    <w:p>
      <w:r>
        <w:rPr>
          <w:b/>
        </w:rPr>
        <w:t>E. 9</w:t>
      </w:r>
    </w:p>
    <w:p>
      <w:r>
        <w:t>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10</w:t>
      </w:r>
    </w:p>
    <w:p>
      <w:r>
        <w:t>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 ATA/1174/ 2020 du 24 novembre 2020 consid. 8d et les références citées). La protection de l’égalité et celle contre l’arbitraire (art. 9 Cst.) sont étroitement liées. Une décision ou un arrêté est arbitraire lorsqu’il ne repose sur aucun motif sérieux et objectif ou n’a ni sens ni but. L’inégalité de traitement apparaît comme une forme particulière d’arbitraire, consistant à traiter de manière inégale ce qui devrait l’être de manière semblable ou inversement (ATF 141 I 235 consid. 7.1 ; arrêt du Tribunal fédéral 1C_28/2019 du 23 décembre 2019 consid. 6.1).</w:t>
      </w:r>
    </w:p>
    <w:p>
      <w:r>
        <w:rPr>
          <w:b/>
        </w:rPr>
        <w:t>E. 11</w:t>
      </w:r>
    </w:p>
    <w:p>
      <w:r>
        <w:t>Le principe de la légalité de l’activité administrative (art. 5 al. 1 Cst.) prévaut en principe sur celui de l’égalité de traitement. L’administré ne peut ainsi,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139 II 49 consid. 7.1 ; arrêts du Tribunal fédéral 2C_467/2019 du 24 janvier 2020 consid. 5.2 ; 1C_28/2019 du 23 décembre 2019 consid. 6.1 ; ATA/508/2020 du 26 mai 2020 consid. 6c).</w:t>
      </w:r>
    </w:p>
    <w:p>
      <w:r>
        <w:t>- 8/10 - A/4288/2020</w:t>
      </w:r>
    </w:p>
    <w:p>
      <w:r>
        <w:rPr>
          <w:b/>
        </w:rPr>
        <w:t>E. 12</w:t>
      </w:r>
    </w:p>
    <w:p>
      <w:r>
        <w:t>En l’espèce, comme vu ci-devant sous consid. 6, le tribunal constate que par son « changement de pratique » instituée au début du mois de mars 2020, l’AFC-GE ne fait que se conformer à la législation en vigueur. Ce changement de pratique administrative repose donc sur des motifs sérieux et objectifs, puisqu’il rétablit une pratique conforme au droit. Partant, il doit valoir immédiatement, même pour les procédures pendantes, ce qui n’est d’ailleurs pas le cas du recourant, celui-ci n’ayant effectué les donations avec prise en charge des droits d’enregistrement qu’une quinzaine de jours après la décision de changer la pratique en cause. Au surplus, le grief du recourant selon lequel ce changement de pratique viole les principes d’égalité de traitement et le principe de la bonne foi doit être rejeté. D’une part, l’AFC-GE a confirmé appliquer sa nouvelle pratique de manière systématique depuis son adoption, et aucun élément ne permet de mettre en doute cette affirmation. Le fait que des donations antérieures à l’application de la nouvelle pratique aient été traitées selon l’ancienne pratique, chose en soi logique, n’implique aucune inégalité de traitement selon la jurisprudence, et cela même si un changement de pratique entraîne inévitablement une différence de traitement entre les cas anciens et les cas nouveaux. D’autre part, il ne résulte pas des éléments au dossier que l’AFC-GE aurait donné au recourant des assurances ou une promesse concrète quant au fait qu’il ne serait pas taxé sur la donation résultant de la prise en charge des droits d’enregistrement. À cet égard, le fait que la chambre des notaires, informée par l’AFC-GE de ce changement de pratique, n’ait pas communiqué avec célérité cette information ne peut être reproché à l’autorité intimée, laquelle n’est d’ailleurs pas tenue par les informations délivrées par cette association professionnelle. Il en va de même pour la revue Bilan, qui a certes publié une information correcte à l’époque, mais qui n’a, semble-t-il, pas informé ses lecteurs du changement de pratique intervenue début mars 2020. Enfin, une annonce, certes indirecte, a eu lieu par la mise à disposition d’un nouveau formulaire. Cette « déclaration de donation mobilière », que l’on peut trouver en ligne sur Internet, est formulée de la manière suivante : « La prise en charge des droits par le donateur peut également donner lieu à un supplément de droits de donation ». Certes, sa formulation manque de clarté car il ne s’agit en réalité pas d’un « supplément » de droits de donation mais d’un nouvel impôt ; par ailleurs, elle laisse penser que le « supplément de droits de donation », ou « nouvel impôt », en cas de prise en charge des droits d’enregistrement par le donateur n’est qu’une possibilité. L’autorité intimée est ainsi invitée à modifier la rédaction de cette formule. Ce qui précède n’est toutefois pas relevant dans notre cas puisque, comme il le reconnaît, ses déclarations de donation n’ont pas été opérées par le biais de ce formulaire - dont il ignorait l’existence. Il n’y a au</w:t>
      </w:r>
    </w:p>
    <w:p>
      <w:r>
        <w:t>- 9/10 - A/4288/2020 demeurant pas lieu de s’interroger si la nouvelle pratique pouvait être appliquée sans avoir été préalablement annoncée, puisqu’elle a été adoptée et est entrée en vigueur alors que les donations en cause n’avaient pas encore eu lieu. Au vu de ce qui précède, le changement de pratique de l’AFC-GE étant justifié et le recourant n’ayant pas démontré que le principe de l’égalité de traitement n’avait pas été respecté, le recours sera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- 10/10 - A/4288/2020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