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JTAPI/448/2025 vom 30. April 2025</w:t>
      </w:r>
    </w:p>
    <w:p>
      <w:r>
        <w:t>GE Cour de justice, 2025-04-30, FR</w:t>
      </w:r>
    </w:p>
    <w:p>
      <w:r>
        <w:rPr>
          <w:b/>
        </w:rPr>
        <w:t xml:space="preserve">Quelle: </w:t>
      </w:r>
      <w:r>
        <w:t>https://mcp.opencaselaw.ch/entscheid/ge_gerichte_JTAPI_448_2025</w:t>
      </w:r>
    </w:p>
    <w:p>
      <w:r>
        <w:t>FR: GE_GERICHTE JTAPI/448/2025 du 30 avril 2025</w:t>
      </w:r>
    </w:p>
    <w:p>
      <w:r>
        <w:t>IT: GE_GERICHTE JTAPI/448/2025 del 30 aprile 2025</w:t>
      </w:r>
    </w:p>
    <w:p>
      <w:pPr>
        <w:pStyle w:val="Heading2"/>
      </w:pPr>
      <w:r>
        <w:t>Erwägungen</w:t>
      </w:r>
    </w:p>
    <w:p>
      <w:r>
        <w:rPr>
          <w:b/>
        </w:rPr>
        <w:t>E. 30</w:t>
      </w:r>
    </w:p>
    <w:p>
      <w:r>
        <w:t>Selon l'art. 64 al. 1 let. c LEI, l'autorité rend une décision de renvoi ordinaire à l'encontre d'un étranger auquel une autorisation est refusée ou n'est pas prolongée.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31</w:t>
      </w:r>
    </w:p>
    <w:p>
      <w:r>
        <w:t>Le renvoi d'un étranger ne peut toutefois être ordonné que si l'exécution de celui-ci est possible, licite ou peut être raisonnablement exigée (art. 83 al. 1 LEI).</w:t>
      </w:r>
    </w:p>
    <w:p>
      <w:r>
        <w:rPr>
          <w:b/>
        </w:rPr>
        <w:t>E. 32</w:t>
      </w:r>
    </w:p>
    <w:p>
      <w:r>
        <w:t>Aux termes de l'art. 83 al. 4 LEI, l'exécution de la décision de renvoi peut ne pas être raisonnablement exigée si le renvoi ou l'expulsion de l'étranger dans son pays</w:t>
      </w:r>
    </w:p>
    <w:p>
      <w:r>
        <w:t>- 14/15 - A/293/2025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rPr>
          <w:b/>
        </w:rPr>
        <w:t>E. 33</w:t>
      </w:r>
    </w:p>
    <w:p>
      <w:r>
        <w:t>En l'espèce, la recourante n’obtenant pas d’autorisation de séjour, c’est à bon droit que l’autorité intimée a prononcé son renvoi de Suisse. Au surplus, l’exécution de cette mesure paraît possible, licite et raisonnablement exigible, aucune pièce du dossier ne permettant de retenir qu’un retour au Brésil l’exposerait à une mise en danger concrète. S’agissant des violences conjugales qu'elle allègue avoir subies, non seulement elles ne sont pas documentées, mais la recourante n’explique en quoi il ne lui serait pas possible de s’établir au Brésil à l'insu de son ex-époux ou ailleurs qu’à proximité de celui-ci.</w:t>
      </w:r>
    </w:p>
    <w:p>
      <w:r>
        <w:rPr>
          <w:b/>
        </w:rPr>
        <w:t>E. 34</w:t>
      </w:r>
    </w:p>
    <w:p>
      <w:r>
        <w:t>Intégralement infondé, le recours sera donc rejeté.</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du même montant versée à la suite du dépôt du recours. 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SEM.</w:t>
      </w:r>
    </w:p>
    <w:p>
      <w:r>
        <w:t>- 15/15 - A/293/2025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