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JTAPI/445/2024 vom 2. Februar 2015</w:t>
      </w:r>
    </w:p>
    <w:p>
      <w:r>
        <w:t>GE Cour de justice, 2015-02-02, FR</w:t>
      </w:r>
    </w:p>
    <w:p>
      <w:r>
        <w:rPr>
          <w:b/>
        </w:rPr>
        <w:t xml:space="preserve">Quelle: </w:t>
      </w:r>
      <w:r>
        <w:t>https://mcp.opencaselaw.ch/entscheid/ge_gerichte_JTAPI_445_2024</w:t>
      </w:r>
    </w:p>
    <w:p>
      <w:r>
        <w:t>FR: GE_GERICHTE JTAPI/445/2024 du 2 février 2015</w:t>
      </w:r>
    </w:p>
    <w:p>
      <w:r>
        <w:t>IT: GE_GERICHTE JTAPI/445/2024 del 2 febbraio 2015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11 mai 2024 à 16h10.</w:t>
      </w:r>
    </w:p>
    <w:p>
      <w:r>
        <w:rPr>
          <w:b/>
        </w:rPr>
        <w:t>E. 3</w:t>
      </w:r>
    </w:p>
    <w:p>
      <w:r>
        <w:t>Selon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lorsqu'elle franchit la frontière malgré une interdiction d'entrer en Suisse et ne peut pas être renvoyée immédiatement.</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De même, une mise en détention administrative est envisageable si des éléments concrets font craindre que la personne entend se soustraire au renvoi ou à</w:t>
      </w:r>
    </w:p>
    <w:p>
      <w:r>
        <w:t>- 5/8 - A/1596/2024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5</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7</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8</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w:t>
      </w:r>
    </w:p>
    <w:p>
      <w:r>
        <w:t>- 6/8 - A/1596/2024 d'appréciation dont elle dispose dans l'application de la loi, elle se doit d'examiner la proportionnalité de la mesure qu'elle envisage de prendre.</w:t>
      </w:r>
    </w:p>
    <w:p>
      <w:r>
        <w:rPr>
          <w:b/>
        </w:rPr>
        <w:t>E. 10</w:t>
      </w:r>
    </w:p>
    <w:p>
      <w:r>
        <w:t>Le principe de la proportionnalité, garanti par l'art. 36 de la Constitution fédérale de la Confédération suisse du 18 avril 1999 (Cst - RS 101),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12</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Enfin,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14</w:t>
      </w:r>
    </w:p>
    <w:p>
      <w:r>
        <w:t>En l’espèce, M. A______ fait l’objet d’une décision de renvoi prise à son encontre le 11 mai 2024. Il fait par ailleurs l’objet d’une interdiction d’entrée en Suisse valable du 24 janvier 2019 au 23 janvier 2029. Il n’a aucunement respecté cette décision, étant notamment revenu en Suisse à deux reprises depuis le prononcé de celle-ci.</w:t>
      </w:r>
    </w:p>
    <w:p>
      <w:r>
        <w:rPr>
          <w:b/>
        </w:rPr>
        <w:t>E. 15</w:t>
      </w:r>
    </w:p>
    <w:p>
      <w:r>
        <w:t>Pour ce motif déjà le principe de la légalité de la détention est respecté, sans qu’il ne soit nécessaire d’analyser si la détention pourrait être fondée sur un autre motif.</w:t>
      </w:r>
    </w:p>
    <w:p>
      <w:r>
        <w:rPr>
          <w:b/>
        </w:rPr>
        <w:t>E. 16</w:t>
      </w:r>
    </w:p>
    <w:p>
      <w:r>
        <w:t>Concernant les démarches entreprises, on ne saurait reprocher à l'autorité chargée du renvoi, une inaction. Celle-ci attend le rapport médical du service pénitentiaire pour le transmettre à l’OSEARA. Ce n’est qu’une fois informé par l’OSEARA de la capacité de M. A______ à voyager, d’ici dix jours, qu’elle pourrait lui réserver</w:t>
      </w:r>
    </w:p>
    <w:p>
      <w:r>
        <w:t>- 7/8 - A/1596/2024 un vol en fonction des informations qu’elle recevra. C’est le lieu de relever que si l’intéressé ne peut pas voyager, il sera vraisemblablement libéré et que sinon, il pourra rapidement prendre un vol à destination de la Géorgie au moyen de son passeport. Dès lors, le grief tiré de l’absence de prévisibilité du renvoi doit être écarté.</w:t>
      </w:r>
    </w:p>
    <w:p>
      <w:r>
        <w:rPr>
          <w:b/>
        </w:rPr>
        <w:t>E. 17</w:t>
      </w:r>
    </w:p>
    <w:p>
      <w:r>
        <w:t>S’agissant de la proportionnalité de la détention, le tribunal retiendra que M. A______ a fait l'objet de plusieurs condamnations pénales et est revenu en Suisse à deux reprises après qu’il ait été renvoyé dans son pays d’origine, au mépris d’une interdiction d'entrée. Il n’a aucun moyen de subsistance, se trouve dans la clandestinité et ne connaît pas l’adresse où il prétend vivre depuis deux ans. La présence en Suisse de sa femme et son fils n'est pas de nature à assurer sa présence lors de son renvoi. Partant, aucune mesure moins incisive que la détention administrative, telle qu’une assignation à résidence, ne permet d'assurer la présence de l'intéressé au moment de son renvoi.</w:t>
      </w:r>
    </w:p>
    <w:p>
      <w:r>
        <w:rPr>
          <w:b/>
        </w:rPr>
        <w:t>E. 18</w:t>
      </w:r>
    </w:p>
    <w:p>
      <w:r>
        <w:t>Enfin, M. A______ considère que sa détention administrative serait contraire à l'art. 8 CEDH, puisqu’il vit avec son fils, au bénéfice d’une autorisation de séjour, à Genève. Cela étant, c’est la décision de renvoi de M. A______ qui est susceptible de constituer une violation de l'art. 8 CEDH, et non pas l'ordre de mise en détention administrative lui-même, qui n'est qu'une mesure d'exécution de ladite décision de renvoi. C’est dans le cadre d'une procédure judiciaire à l'encontre de la décision de renvoi que la violation de l'art. 8 CEDH doit être alléguée, mais pas dans le cadre de la présente procédure.</w:t>
      </w:r>
    </w:p>
    <w:p>
      <w:r>
        <w:rPr>
          <w:b/>
        </w:rPr>
        <w:t>E. 19</w:t>
      </w:r>
    </w:p>
    <w:p>
      <w:r>
        <w:t>Ainsi, eu égard à l'ensemble des circonstances, il y a lieu de confirmer l'ordre de mise en détention administrative pour une durée de deux mois, qui respecte en soi l'art. 79 LEI et n'apparaît pas disproportionnée. Si M. A______ s’opposait à son renvoi, la durée de la détention permettrait à l’autorité d’entreprendre de nouvelles démarches pour ce faire.</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A/1596/2024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