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JTAPI/442/2021 vom 7. Mai 2021</w:t>
      </w:r>
    </w:p>
    <w:p>
      <w:r>
        <w:t>GE Cour de justice, 2021-05-07, FR</w:t>
      </w:r>
    </w:p>
    <w:p>
      <w:r>
        <w:rPr>
          <w:b/>
        </w:rPr>
        <w:t xml:space="preserve">Quelle: </w:t>
      </w:r>
      <w:r>
        <w:t>https://mcp.opencaselaw.ch/entscheid/ge_gerichte_JTAPI_442_2021</w:t>
      </w:r>
    </w:p>
    <w:p>
      <w:r>
        <w:t>FR: GE_GERICHTE JTAPI/442/2021 du 7 mai 2021</w:t>
      </w:r>
    </w:p>
    <w:p>
      <w:r>
        <w:t>IT: GE_GERICHTE JTAPI/442/2021 del 7 maggio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 ; ATA/117/2016 du 9 février 2016 consid. 2).</w:t>
      </w:r>
    </w:p>
    <w:p>
      <w:r>
        <w:rPr>
          <w:b/>
        </w:rPr>
        <w:t>E. 5</w:t>
      </w:r>
    </w:p>
    <w:p>
      <w:r>
        <w:t>Le recourant conteste le refus de l’OCPM de prolonger son autorisation de séjour.</w:t>
      </w:r>
    </w:p>
    <w:p>
      <w:r>
        <w:rPr>
          <w:b/>
        </w:rPr>
        <w:t>E. 6</w:t>
      </w:r>
    </w:p>
    <w:p>
      <w:r>
        <w:t>Selon l'art. 42 al. 1 LEI, le conjoint d'un ressortissant suisse a droit à l'octroi d'une autorisation de séjour et à la prolongation de sa durée de validité à condition de vivre en ménage commun avec lui. À teneur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sont remplis. Ces deux conditions sont cumulatives (ATF 140 II 345 consid. 4).</w:t>
      </w:r>
    </w:p>
    <w:p>
      <w:r>
        <w:t>- 6/12 - A/3710/2020</w:t>
      </w:r>
    </w:p>
    <w:p>
      <w:r>
        <w:rPr>
          <w:b/>
        </w:rPr>
        <w:t>E. 7</w:t>
      </w:r>
    </w:p>
    <w:p>
      <w:r>
        <w:t>En l’espèce, il est admis par les deux parties que l’union conjugale a duré moins de trois ans. Quoi qu’en pense le recourant, les raisons pour lesquelles son mariage a échoué, selon lui les troubles psychologiques dont souffre son épouse, ainsi que les infidélités qu’elle a commises, ne sont pas pertinentes (arrêt du Tribunal fédéral 2C_621/2015 du 11 décembre 2015 consid. 5.2.2). Puisque les deux conditions posées par l’art. 50 al. 1 let. a LEI sont cumulatives et que la première d’entre elles n’est pas remplies, il n’y a pas lieu d’examiner si la seconde – à savoir l’intégration du recourant en Suisse – est réalisée (ATF 140 II 289 consid. 3.5.3).</w:t>
      </w:r>
    </w:p>
    <w:p>
      <w:r>
        <w:rPr>
          <w:b/>
        </w:rPr>
        <w:t>E. 8</w:t>
      </w:r>
    </w:p>
    <w:p>
      <w:r>
        <w:t>Cela étant, le recourant fait valoir en substance que la poursuite de son séjour en Suisse s’impose pour des raisons personnelles majeures, d’une part en raison du fait qu’il a été victime de violences conjugales de la part de son épouse et, d’autre part, au motif que sa réintégration en Algérie n’est pas envisageable.</w:t>
      </w:r>
    </w:p>
    <w:p>
      <w:r>
        <w:rPr>
          <w:b/>
        </w:rPr>
        <w:t>E. 9</w:t>
      </w:r>
    </w:p>
    <w:p>
      <w:r>
        <w:t>Selon l'art. 50 al. 1 let. b LEI, après dissolution de la famille, le droit du conjoint et des enfants à l'octroi d'une autorisation de séjour et à la prolongation de sa durée de validité en vertu des art. 42 et 43 LEI subsiste également lorsque la poursuite du séjour du recourant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2 LEI concerne notamment les situations où - eu égard à l'ensemble des circonstances - l'étranger se trouve dans un cas de rigueur après la dissolution de la famille (ATF 138 II 393 consid. 3.1 ; 137 II 345 consid. 3.2.1).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Comme il s'agit de cas de rigueur survenant à la suite de la dissolution de la famille, en relation avec l'autorisation de séjour découlant du mariage, les raisons qui ont conduit à la rupture de l'union conjugale revêtent de l'importance (ATA/403/2015 du 28 avril 2015 consid. 7 ; ATA/674/2014 du 26 août 2014).</w:t>
      </w:r>
    </w:p>
    <w:p>
      <w:r>
        <w:rPr>
          <w:b/>
        </w:rPr>
        <w:t>E. 10</w:t>
      </w:r>
    </w:p>
    <w:p>
      <w:r>
        <w:t>S'agissant de la violence conjugale, la personne admise dans le cadre du regroupement familial doit établir qu'on ne peut plus exiger d'elle qu'elle poursuive l'union conjugale, parce que cette situation risque de la perturber gravement. La notion de violence conjugale inclut également la violence psychologique. À l'instar de violences physiques, seuls des actes de violence</w:t>
      </w:r>
    </w:p>
    <w:p>
      <w:r>
        <w:t>- 7/12 - A/3710/2020 psychique d'une intensité particulière peuvent justifier l'application de l'art. 50 al. 1 let. b LEI (ATF 138 II 229 consid. 3 ; arrêt 2C_908/2015 du 28 décembre 2015 consid. 5.1). Le fait d'exercer des contraintes psychiques d'une certaine constance et intensité peut fonder un cas de rigueur après dissolution de la communauté conjugale, au sens de l'art. 50 al. 1 let. b et al. 2 LEI. Par exemple, une attaque verbale à l'occasion d'une dispute ne suffit pas (ATF 138 II 229 consid. 3.2 p. 233 ; RDAF 2013 I p. 533). De même, une simple gifle ou le fait pour un époux étranger d'avoir été enfermé une fois dehors par son épouse ne suffisent pas (ATF 138 II 229 consid. 3.2.1 ; 136 II 1 consid. 5.4 p. 5). Le Tribunal fédéral a par ailleurs considéré qu'un acte de violence isolé, mais particulièrement grave, pouvait à lui seul conduire à admettre l'existence de raisons personnelles majeures au sens de l'art. 50 al. 1 let. b et al. 2 LEI (arrêts 2C_982/2010 du 3 mai 2011 consid. 3.3 et 2C_590/2010 du 29 novembre 2010 consid. 2.5.2). Le Tribunal fédéral, dans une autre affaire (arrêt 2C_777/2015 du 26 mai 2016 consid. 3.2, non publié in ATF 142 I 152), se référant à un rapport du Bureau fédéral de l'égalité entre femmes et hommes relatif à la violence domestique,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C'est en ce sens qu'il faut comprendre la notion de violence conjugale d'une certaine intensité (« effets et retombées ») au sens de l'art. 50 al. 1 let. b et al. 2 LEI.</w:t>
      </w:r>
    </w:p>
    <w:p>
      <w:r>
        <w:rPr>
          <w:b/>
        </w:rPr>
        <w:t>E. 11</w:t>
      </w:r>
    </w:p>
    <w:p>
      <w:r>
        <w:t>L'étranger qui se prétend victime de violences conjugales sous l'angle de l'art. 50 al. 1 let. b et al. 2 LEI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(arrêt du Tribunal administratif fédéral F-1186/2018 du 10 janvier 2019 consid. 5.3.5 et références citées). La situation de violence ou d'oppression domestique doit être rendue vraisemblable d'une manière appropriée, notamment à l'aide de rapports divers mais aussi d'avis d'experts ou de témoignages crédibles (ATF 138 II 229 consid. 3.2.3).</w:t>
      </w:r>
    </w:p>
    <w:p>
      <w:r>
        <w:rPr>
          <w:b/>
        </w:rPr>
        <w:t>E. 12</w:t>
      </w:r>
    </w:p>
    <w:p>
      <w:r>
        <w:t>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w:t>
      </w:r>
    </w:p>
    <w:p>
      <w:r>
        <w:t>- 8/12 - A/3710/2020 conditions de sa réintégration sociale, au regard de sa situation personnelle, professionnelle et familiale, seraient gravement compromises (ATF 139 II 393 consid. 6 ; 137 II 345 consid. 3.2.2).</w:t>
      </w:r>
    </w:p>
    <w:p>
      <w:r>
        <w:rPr>
          <w:b/>
        </w:rPr>
        <w:t>E. 13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ATF 137 II 345 consid. 3.2.1 ; arrêt du Tribunal administratif fédéral F-6860/2016 du 6 juillet 2018 consid. 5.2.1).</w:t>
      </w:r>
    </w:p>
    <w:p>
      <w:r>
        <w:rPr>
          <w:b/>
        </w:rPr>
        <w:t>E. 14</w:t>
      </w:r>
    </w:p>
    <w:p>
      <w:r>
        <w:t>En l’espèce, selon ses propres déclarations, tenues à l’audience du 12 avril 2021, le recourant a expliqué qu’il n’avait effectué aucun suivi médical particulier, que ce soit psychiatrique ou psychologique. M. C______, enseignant et responsable de filière au F______, assermenté, a déclaré qu’il connaissait tant le recourant que son épouse, qu’il avait eue comme élève. Elle lui avait parlé de difficultés conjugales, liées au fait qu’elle avait rencontré un autre homme. M. D______, traducteur, assermenté, a déclaré qu’il connaissait bien le recourant pour le côtoyer régulièrement dans le tea-room dans lequel il travaillait. Mme B______ était allée habiter chez son père lorsque ce dernier avait résilié le bail de l’appartement conjugal, et le recourant s’était retrouvé à la rue. Il lui avait fait part de ses difficultés conjugales, à savoir du caractère dépensier de son épouse et de ses sautes d’humeurs. Il n’avait pas assisté à des pressions que l’un des époux aurait exercées sur l’autre. Mme E______, étudiante, entendue à titre de renseignements, a déclaré que le recourant lui avait raconté sa relation avec son épouse, notamment la naissance d’un enfant dont il n’était pas le père. Elle n’avait toutefois jamais rencontré Mme B______. Les pièces produites à l’audience du 12 avril 2021 sont des lettres de soutien faisant état des qualités personnelles du recourant. Toutefois, leurs auteurs n’attestent en rien qu’ils auraient assisté à des actes de violence commis sur lui par son épouse.</w:t>
      </w:r>
    </w:p>
    <w:p>
      <w:r>
        <w:t>- 9/12 - A/3710/2020 Enfin, dans son attestation du 26 avril 2021, Mme E______, expose que son fils est atteint d’une maladie rare et que le recourant est devenu comme un père pour lui. Cependant, il ne ressort pas de ce courrier que la précitée aurait vu Mme B______ se montrer violente envers l’intéressé. Au vu de ce qui précède, le tribunal considère que le recourant n’a pas démontré, ni même rendu vraisemblable, qu’il a été victime de violences conjugales d’une intensité telle que l’on ne puisse plus exiger de lui qu’il poursuivît son union conjugale avec Mme B______. Aucune pièce, telle qu’attention médicale, ni même aucune déclaration écrite ne vient attester de l’existence de violences psychologiques ou physiques. Aucun témoin cité par l’intéressé n’a constaté les maltraitances qu’il prétend avoir subies de la part de son épouse. Le seul fait qu’elle ait pris un amant et qu’elle ait eu un enfant hors mariage, ne saurait, à lui seul, être constitutif de violences au sens où l’entend la jurisprudence.</w:t>
      </w:r>
    </w:p>
    <w:p>
      <w:r>
        <w:rPr>
          <w:b/>
        </w:rPr>
        <w:t>E. 15</w:t>
      </w:r>
    </w:p>
    <w:p>
      <w:r>
        <w:t>Le recourant se prévaut du risque d’être emprisonné à son retour en Algérie durant un an, en raison du fait qu’il n’a pas accompli son service militaire. Toute sa famille restée au pays dépend financièrement de lui. Enfin, il n’aurait aucune chance de reconstruire sa vie dans sa patrie, qui connaît une crise économique durable. L’intéressé ne peut être suivi. Il est né en Algérie, pays qu’il a quitté à l’âge de 26 ans pour émigrer en Suisse. En d’autres termes, il a passé toute son enfance et son adolescence dans sa patrie, soit les années essentielles pour la formation de sa personnalité et pour son intégration socio-culturelle et il y a également vécu les premières années de sa vie d’adulte. Selon ses dires, il est arrivé à Genève en 2011, soit il y a dix ans. Toutefois, il n’y a séjourné légalement que depuis 2019, lorsqu’il a obtenu une autorisation de séjour pour regroupement familial. Il réside actuellement au bénéfice de l’effet suspensif accordé à son recours, puisque son permis a été révoqué par l’OCPM, le 15 octobre 2020. En d’autres termes, il ne peut se prévaloir que d’une courte durée de séjour en Suisse. De plus, quand bien même l’intéressé maîtrise la langue française, occupe un emploi et ne fait pas l’objet de poursuites pour dettes, il ne peut se prévaloir d’une intégration professionnelle particulièrement marquée, n’ayant pas acquis de connaissances telles qu’il ne puisse les mettre à profit dans sa patrie. Enfin, il ne fait pas état de problèmes de santé. Pour terminer, même si, de retour en Algérie, il ne sera vraisemblablement plus à même d’entretenir sa famille dans la même mesure que depuis la Suisse, la seule péjoration de sa situation financière ne suffit pas à reconnaître que sa réintégration paraisse fortement compromise. Le fait que ce pays traverse une crise économique n’est pas pertinent. L’autorité intimée n’a ainsi pas violé la loi en refusant de renouveler l’autorisation de séjour du recourant en application de l’art. 50 LEI.</w:t>
      </w:r>
    </w:p>
    <w:p>
      <w:r>
        <w:t>- 10/12 - A/3710/2020 La question de savoir dans quelle mesure le fait qu’il n’aurait pas accompli son service militaire en Algérie, lui permet de s’opposer à son renvoi, sera examinée dans le cadre de l’analyse de la licéité de celui-ci.</w:t>
      </w:r>
    </w:p>
    <w:p>
      <w:r>
        <w:rPr>
          <w:b/>
        </w:rPr>
        <w:t>E. 16</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rPr>
          <w:b/>
        </w:rPr>
        <w:t>E. 17</w:t>
      </w:r>
    </w:p>
    <w:p>
      <w:r>
        <w:t>Le renvoi d’un étranger ne peut toutefois être ordonné que si l’exécution de celui- 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ou de violence généralisée (art. 83 al. 4 LEI). Dans les situations visées à l’art. 83 al. 1 LEI, le secrétariat d’État aux migrations (ci-après : SEM) décide d’admettre provisoirement l’étranger.</w:t>
      </w:r>
    </w:p>
    <w:p>
      <w:r>
        <w:rPr>
          <w:b/>
        </w:rPr>
        <w:t>E. 18</w:t>
      </w:r>
    </w:p>
    <w:p>
      <w:r>
        <w:t>L'illicéité du renvoi est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 du Tribunal administratif fédéral E-7712/2008 du 19 avril 2011 consid. 6.1).</w:t>
      </w:r>
    </w:p>
    <w:p>
      <w:r>
        <w:rPr>
          <w:b/>
        </w:rPr>
        <w:t>E. 19</w:t>
      </w:r>
    </w:p>
    <w:p>
      <w:r>
        <w:t>Selon la jurisprudence (ATAF 2015/3 consid. 5.7.1 et 5.9 ; arrêts du Tribunal administratif fédéral C-648/2015 du 27 mai 2016 consid. 7.5.1 ; E-1816/2015 du 15 juillet 2015 consid. 5.6), le risque de l'ouverture d'une procédure militaire pour désertion ou insoumission n'est en principe pas pertinent en matière d'illicéité de l'exécution du renvoi, soit en particulier lorsque la peine vise uniquement à réprimer légitimement le refus du service militaire et n'expose pas la personne concernée à une condamnation disproportionnée par rapport à la gravité du délit commis ou à des traitements contraires aux droits de l'homme. Dans l’arrêt C-648/2015 susmentionné, le Tribunal administratif fédéral a jugé licite le renvoi dans son pays d’un Algérien qui craignait d’être emprisonné en raison de son refus de donner suite à la convocation des autorités militaires de son pays d'origine, au motif que l’intéressé n’avait pas démontré qu'il serait puni plus sévèrement que ne le serait une autre personne dans la même situation ou que la peine infligée serait d'une sévérité disproportionnée. En outre, il n'avait pas non plus rendu vraisemblable que l'accomplissement du service militaire l'exposerait à des préjudices contraires à l'art 3 CEDH ou d'autres dispositions de la Convention (consid. 7.5.1 et 7.5.2).</w:t>
      </w:r>
    </w:p>
    <w:p>
      <w:r>
        <w:t>- 11/12 - A/3710/2020</w:t>
      </w:r>
    </w:p>
    <w:p>
      <w:r>
        <w:rPr>
          <w:b/>
        </w:rPr>
        <w:t>E. 20</w:t>
      </w:r>
    </w:p>
    <w:p>
      <w:r>
        <w:t>En l’espèce, le recourant n’a pas établi à satisfaction de droit qu’en cas de renvoi en Algérie, il serait puni plus sévèrement que ses compatriotes pour s’être soustrait à ses obligations militaires, ni que, pour ce motif, il serait soumis à des traitements inhumains ou dégradants prohibés par la CEDH ou la Conv. torture. Dès lors, même à supposer qu’il soit in casu établi, le risque pour le recourant de purger une peine de prison à son retour dans sa patrie ne constitue pas un motif justifiant de considérer son renvoi comme illicite.</w:t>
      </w:r>
    </w:p>
    <w:p>
      <w:r>
        <w:rPr>
          <w:b/>
        </w:rPr>
        <w:t>E. 21</w:t>
      </w:r>
    </w:p>
    <w:p>
      <w:r>
        <w:t>Au vu de ce qui précède, le recours sera rejeté et la décision contestée confirmée.</w:t>
      </w:r>
    </w:p>
    <w:p>
      <w:r>
        <w:rPr>
          <w:b/>
        </w:rPr>
        <w:t>E. 22</w:t>
      </w:r>
    </w:p>
    <w:p>
      <w:r>
        <w:t>Dès lors que le présent jugement tranche le fond du litige, la conclusion de l'intéressé portant sur l'effet suspensif se révèle dépourvue d'objet.</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- 12/12 - A/3710/2020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