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JTAPI/438/2024 vom 8. Mai 2024</w:t>
      </w:r>
    </w:p>
    <w:p>
      <w:r>
        <w:t>GE Cour de justice, 2024-05-08, FR</w:t>
      </w:r>
    </w:p>
    <w:p>
      <w:r>
        <w:rPr>
          <w:b/>
        </w:rPr>
        <w:t xml:space="preserve">Quelle: </w:t>
      </w:r>
      <w:r>
        <w:t>https://mcp.opencaselaw.ch/entscheid/ge_gerichte_JTAPI_438_2024</w:t>
      </w:r>
    </w:p>
    <w:p>
      <w:r>
        <w:t>FR: GE_GERICHTE JTAPI/438/2024 du 8 mai 2024</w:t>
      </w:r>
    </w:p>
    <w:p>
      <w:r>
        <w:t>IT: GE_GERICHTE JTAPI/438/2024 del 8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conteste le principe de l'amende, faisant valoir l'absence de toute faute de sa part.</w:t>
      </w:r>
    </w:p>
    <w:p>
      <w:r>
        <w:rPr>
          <w:b/>
        </w:rPr>
        <w:t>E. 4</w:t>
      </w:r>
    </w:p>
    <w:p>
      <w:r>
        <w:t>Le Conseil d'Etat fixe par règlements les dispositions relatives à la sécurité et à la prévention des accidents sur les chantiers (art. 151 let. d LCI). Sur cette base, il a adopté le RChant.</w:t>
      </w:r>
    </w:p>
    <w:p>
      <w:r>
        <w:rPr>
          <w:b/>
        </w:rPr>
        <w:t>E. 5</w:t>
      </w:r>
    </w:p>
    <w:p>
      <w:r>
        <w:t>La prévention des accidents sur les chantiers et les mesures à prendre pour assurer la sécurité des travailleurs, du public, des ouvrages et de leurs abords sont réglées par les dispositions du RChant (art. 1 al. 1 RChant).</w:t>
      </w:r>
    </w:p>
    <w:p>
      <w:r>
        <w:rPr>
          <w:b/>
        </w:rPr>
        <w:t>E. 6</w:t>
      </w:r>
    </w:p>
    <w:p>
      <w:r>
        <w:t>Tous les participants à l'acte de construire, démolir, transformer, entretenir, c'est-à- 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7</w:t>
      </w:r>
    </w:p>
    <w:p>
      <w:r>
        <w:t>Au même titre que, par exemple, la LCI dont il tire sa base légale, le RChant s'applique en tant que réglementation d'intérêt public sur tout le territoire cantonal, sur domaine public aussi bien que privé. Son art. 1 al. 2 mentionné ci- 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 mêmes ou à autrui. Pour les mêmes raisons, ce règlement ne s'applique pas uniquement dans les zones vouées à la construction, mais dans toute zone, dès lors que s'y déroule une activité de construction au sens de la LCI.</w:t>
      </w:r>
    </w:p>
    <w:p>
      <w:r>
        <w:rPr>
          <w:b/>
        </w:rPr>
        <w:t>E. 8</w:t>
      </w:r>
    </w:p>
    <w:p>
      <w:r>
        <w:t>Il en découle que le chantier visé par la sanction litigieuse tombait sous le coup du RChant et que la recourante était tenue de s'y conformer étant chargée des travaux visés, ce qu’elle ne conteste pas – à bon droit - (art. 1 al. 2 RChant). À ce titre, il lui appartenait en particulier de s'assurer que les prescriptions légales en</w:t>
      </w:r>
    </w:p>
    <w:p>
      <w:r>
        <w:t>- 5/9 - A/3291/2023 matière de sécurité étaient respectées s'agissant des échafaudages et de la protection au pied du bâtiment, bordé directement par une voie publique passante.</w:t>
      </w:r>
    </w:p>
    <w:p>
      <w:r>
        <w:rPr>
          <w:b/>
        </w:rPr>
        <w:t>E. 9</w:t>
      </w:r>
    </w:p>
    <w:p>
      <w:r>
        <w:t>Selon l'art. 2 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10</w:t>
      </w:r>
    </w:p>
    <w:p>
      <w:r>
        <w:t>En vertu de l’art. 3 al. 1 RChant, le travail doit s'exécuter en prenant, en plus des mesures ordonnées par le règlement, toutes les précautions commandées par les circonstances et par les usages de la profession.</w:t>
      </w:r>
    </w:p>
    <w:p>
      <w:r>
        <w:rPr>
          <w:b/>
        </w:rPr>
        <w:t>E. 11</w:t>
      </w:r>
    </w:p>
    <w:p>
      <w:r>
        <w:t>Les devis, soumissions, adjudications, plans d’exécution, installations et autres aménagements doivent être étudiés de manière à permettre l’application de toutes les mesures de sécurité et de protection de la santé (art. 7 al. 1 RChant).</w:t>
      </w:r>
    </w:p>
    <w:p>
      <w:r>
        <w:rPr>
          <w:b/>
        </w:rPr>
        <w:t>E. 12</w:t>
      </w:r>
    </w:p>
    <w:p>
      <w:r>
        <w:t>En vertu de l’art. 11 RChant, tout chantier présentant un danger doit être clôturé entre les heures de travail.</w:t>
      </w:r>
    </w:p>
    <w:p>
      <w:r>
        <w:rPr>
          <w:b/>
        </w:rPr>
        <w:t>E. 13</w:t>
      </w:r>
    </w:p>
    <w:p>
      <w:r>
        <w:t>Toutes les mesures de sécurité dictées par les circonstances doivent être prises pour la signalisation des chantiers (art. 17 al. 1 RChant).</w:t>
      </w:r>
    </w:p>
    <w:p>
      <w:r>
        <w:rPr>
          <w:b/>
        </w:rPr>
        <w:t>E. 14</w:t>
      </w:r>
    </w:p>
    <w:p>
      <w:r>
        <w:t>Selon l'art. 92 RChant, des échafaudages, conformes aux prescriptions de l'ordonnance sur les travaux de constructions, sont prescrits pour tout travail de construction de bâtiments exécuté à une hauteur de chute supérieur à 3 m. Le garde- corps supérieur de l'échafaudage doit, pendant toute la durée des travaux de construction, dépasser de 1 m au moins le bord de la zone la plus élevée présentant un risque de chutes.</w:t>
      </w:r>
    </w:p>
    <w:p>
      <w:r>
        <w:rPr>
          <w:b/>
        </w:rPr>
        <w:t>E. 15</w:t>
      </w:r>
    </w:p>
    <w:p>
      <w:r>
        <w:t>Cette prescription figure également à l'art. 26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w:t>
      </w:r>
    </w:p>
    <w:p>
      <w:r>
        <w:rPr>
          <w:b/>
        </w:rPr>
        <w:t>E. 16</w:t>
      </w:r>
    </w:p>
    <w:p>
      <w:r>
        <w:t>Les échafaudages qui servent à la construction d'un immeuble doivent rester en place jusqu'à l'achèvement de tous les travaux, y compris ceux de la toiture (art. 97 al. 1 RChant).</w:t>
      </w:r>
    </w:p>
    <w:p>
      <w:r>
        <w:rPr>
          <w:b/>
        </w:rPr>
        <w:t>E. 17</w:t>
      </w:r>
    </w:p>
    <w:p>
      <w:r>
        <w:t>En l'espèce, la recourante ne conteste pas les faits constatés par le département lors du contrôle opéré le 15 février 2023. En revanche, elle considère avoir pris toutes les mesures nécessaires et n'avoir ainsi commis aucune faute.</w:t>
      </w:r>
    </w:p>
    <w:p>
      <w:r>
        <w:rPr>
          <w:b/>
        </w:rPr>
        <w:t>E. 18</w:t>
      </w:r>
    </w:p>
    <w:p>
      <w:r>
        <w:t>Elle ne saurait être suivie. Le changement des nouveaux verres de balcons se situait au 7ème étage de l’immeuble, soit indubitablement à une hauteur de plus de trois mètres, ce qui se constate aisément sur les photographies prises par le département. Dès lors, la pose d’un échafaudage était nécessaire (art. 92 RChant). En l’absence de dérogation au sens de l’art. 3 al. 3 RChant, faute pour la recourante de l’avoir requise, l’art. 92 RChant a été violé.</w:t>
      </w:r>
    </w:p>
    <w:p>
      <w:r>
        <w:t>- 6/9 - A/3291/2023 Le chantier présentait assurément un danger, dans la mesure où il s’agissait de manipuler des verres de deux balcons, sur une hauteur d’environ dix-huit mètres (7ème étage), alors que le bâtiment est directement bordé d’une voie d’accès piétonne. Il se devait dès lors d’être clôturé et signalé, conformément aux art. 11 et 17 al. 1 RChant, ce qui n’a pas été le cas. La pose d’une simple rubalise ne permettait pas de fermer le passage et d’enclore complètement la zone dangereuse, étant rappelé qu’aucune signalisation n’avait été apposée afin que les tiers soient empêchés d’accéder à celle-ci.</w:t>
      </w:r>
    </w:p>
    <w:p>
      <w:r>
        <w:rPr>
          <w:b/>
        </w:rPr>
        <w:t>E. 19</w:t>
      </w:r>
    </w:p>
    <w:p>
      <w:r>
        <w:t>La recourante a ainsi commis une faute dont elle est responsable.</w:t>
      </w:r>
    </w:p>
    <w:p>
      <w:r>
        <w:rPr>
          <w:b/>
        </w:rPr>
        <w:t>E. 20</w:t>
      </w:r>
    </w:p>
    <w:p>
      <w:r>
        <w:t>Dans ces conditions, sur le principe, l'amende est bien fondée.</w:t>
      </w:r>
    </w:p>
    <w:p>
      <w:r>
        <w:rPr>
          <w:b/>
        </w:rPr>
        <w:t>E. 21</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w:t>
      </w:r>
    </w:p>
    <w:p>
      <w:r>
        <w:rPr>
          <w:b/>
        </w:rPr>
        <w:t>E. 22</w:t>
      </w:r>
    </w:p>
    <w:p>
      <w:r>
        <w:t>Il est tenu compte, dans la fixation du montant de l'amende, du degré de gravité de l'infraction (art. 137 al. 3 LCI). Constituent notamment des circonstances aggravantes la violation des prescriptions susmentionnées par cupidité et les cas de récidive (art. 137 al. 3 LCI).</w:t>
      </w:r>
    </w:p>
    <w:p>
      <w:r>
        <w:rPr>
          <w:b/>
        </w:rPr>
        <w:t>E. 23</w:t>
      </w:r>
    </w:p>
    <w:p>
      <w:r>
        <w:t>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24</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w:t>
      </w:r>
    </w:p>
    <w:p>
      <w:r>
        <w:rPr>
          <w:b/>
        </w:rPr>
        <w:t>E. 27</w:t>
      </w:r>
    </w:p>
    <w:p>
      <w:r>
        <w:t>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arrêt du Tribunal fédéral 6B_412/2014 du 27 janvier 2015 consid. 2.1 et les arrêts cités ; ATA/611/2016 précité du 12 juillet 2016 consid. 10c et les références citées ; ATA/824/2015 du 11 août 2015).</w:t>
      </w:r>
    </w:p>
    <w:p>
      <w:r>
        <w:rPr>
          <w:b/>
        </w:rPr>
        <w:t>E. 28</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29</w:t>
      </w:r>
    </w:p>
    <w:p>
      <w:r>
        <w:t>L'amende doit également respecter le principe de la proportionnalité garanti par l'art. 5 al. 2 Cst. (ATA/611/2016 précité consid. 10c et les références citées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30</w:t>
      </w:r>
    </w:p>
    <w:p>
      <w:r>
        <w:t>À teneur de la jurisprudence, un montant de CHF 5'000.- est a priori adapté aux ressources financières d'une personne morale et correspond à une pratique</w:t>
      </w:r>
    </w:p>
    <w:p>
      <w:r>
        <w:t>- 8/9 - A/3291/2023 relativement régulière du département (ATA/422/2020 du 30 avril 2020 consid. 18d et les références citées).</w:t>
      </w:r>
    </w:p>
    <w:p>
      <w:r>
        <w:rPr>
          <w:b/>
        </w:rPr>
        <w:t>E. 31</w:t>
      </w:r>
    </w:p>
    <w:p>
      <w:r>
        <w:t>En l'espèce, les manquements reprochés se rapportent à des règles essentielles visant à assurer la sécurité d'un chantier aux fins de prévenir des risques d'accidents potentiellement très graves pour les ouvriers et les usagers de la voie bordant le bâtiment où étaient situés les travaux, ce qui justifie le prononcé d'une amende élevée. La prise de conscience de la recourante est quasi inexistante, puisqu'elle persiste à nier toute responsabilité dans le cadre du chantier incriminé.</w:t>
      </w:r>
    </w:p>
    <w:p>
      <w:r>
        <w:rPr>
          <w:b/>
        </w:rPr>
        <w:t>E. 32</w:t>
      </w:r>
    </w:p>
    <w:p>
      <w:r>
        <w:t>Concernant sa quotité, rien ne permet de considérer que le département aurait pris en considération des critères ou éléments sans pertinence pour évaluer la faute et fixer en conséquence le montant de l'amende. Au contraire, dans sa décision du _______ 2023, il a très clairement indiqué à la recourante les motifs qui l'ont conduit à infliger une telle amende, à savoir la gravité objective et subjective du comportement décrié. Il a ainsi visiblement fait application du principe de proportionnalité en prononçant une amende relativement faible par rapport au maximum prévu par la loi (art. 137 al. 1 LCI) et à la faute commise. Le montant de l'amende se révèle conforme à la pratique du département, ainsi qu'à la jurisprudence de la chambre administrative, auxquelles il n'y a pas matière à déroger. Au demeurant, la recourante ne démontre ni ne soutient que le paiement de cette amende l'exposerait à des difficultés financières particulières.</w:t>
      </w:r>
    </w:p>
    <w:p>
      <w:r>
        <w:rPr>
          <w:b/>
        </w:rPr>
        <w:t>E. 33</w:t>
      </w:r>
    </w:p>
    <w:p>
      <w:r>
        <w:t>Dans ces conditions, force est de constater que le département n'a pas excédé son pouvoir d'appréciation en fixant le montant de l'amende à CHF 3'000.-.</w:t>
      </w:r>
    </w:p>
    <w:p>
      <w:r>
        <w:rPr>
          <w:b/>
        </w:rPr>
        <w:t>E. 34</w:t>
      </w:r>
    </w:p>
    <w:p>
      <w:r>
        <w:t>Mal fondé, le recours sera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A/3291/2023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