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JTAPI/437/2024 vom 12. September 2023</w:t>
      </w:r>
    </w:p>
    <w:p>
      <w:r>
        <w:t>GE Cour de justice, 2023-09-12, FR</w:t>
      </w:r>
    </w:p>
    <w:p>
      <w:r>
        <w:rPr>
          <w:b/>
        </w:rPr>
        <w:t xml:space="preserve">Quelle: </w:t>
      </w:r>
      <w:r>
        <w:t>https://mcp.opencaselaw.ch/entscheid/ge_gerichte_JTAPI_437_2024</w:t>
      </w:r>
    </w:p>
    <w:p>
      <w:r>
        <w:t>FR: GE_GERICHTE JTAPI/437/2024 du 12 septembre 2023</w:t>
      </w:r>
    </w:p>
    <w:p>
      <w:r>
        <w:t>IT: GE_GERICHTE JTAPI/437/2024 del 12 settembre 2023</w:t>
      </w:r>
    </w:p>
    <w:p>
      <w:pPr>
        <w:pStyle w:val="Heading2"/>
      </w:pPr>
      <w:r>
        <w:t>Erwägungen</w:t>
      </w:r>
    </w:p>
    <w:p>
      <w:r>
        <w:rPr>
          <w:b/>
        </w:rPr>
        <w:t>E. 1</w:t>
      </w:r>
    </w:p>
    <w:p>
      <w:r>
        <w:t>Le Tribunal administratif de première instance connaît des recours dirigés, comme en l’espèce, contre les décisions prises par la ville / le département en application de la loi sur la gestion des déchets du 20 mai 1999 (LGD - L 1 20) (art. 115 al. 2 et 116 al. 1 de la loi sur l’organisation judiciaire du 26 septembre 2010 - LOJ - E 2 05 ; art. 50 LGD).</w:t>
      </w:r>
    </w:p>
    <w:p>
      <w:r>
        <w:t>- 4/8 - A/3263/2023</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Conformément à l'art. 31b al. 1 LPE, les déchets urbains, les déchets de la voirie et des stations publiques d’épuration des eaux usées ainsi que les déchets dont le détenteur ne peut être identifié ou est insolvable, sont éliminés par les cantons. Les autres déchets doivent être éliminés par le détenteur étant précisé qu'il peut charger un tiers d’assurer cette élimination (art. 31c al. 1 LPE). Dans la mesure où cela est nécessaire, les cantons prennent des mesures propres à faciliter l’élimination de ces déchets. Ils peuvent notamment définir des zones d’apport (art. 31c al. 1 LPE).</w:t>
      </w:r>
    </w:p>
    <w:p>
      <w:r>
        <w:rPr>
          <w:b/>
        </w:rPr>
        <w:t>E. 4</w:t>
      </w:r>
    </w:p>
    <w:p>
      <w:r>
        <w:t>Par déchets, on entend les choses meubles dont le détenteur se défait ou dont l’élimination est commandée par l’intérêt public (art. 7 al. 6 LPE). Les autres déchets au sens de l'art. 31c al. 1 LPE sont notamment les déchets de chantier, lesquels font l'objet d'une réglementation spécifique (Flückiger in : Moor/Favre/Flückiger, Commentaire LPE, éd. 2010, ad art. 31c, p. 3). On parle de déchets de chantier lorsque ceux-ci sont produits lors de la construction, de la transformation ou de la déconstruction d’installations fixe (art. 3 let. e de l’ordonnance sur la limitation et l’élimination des déchets du 4 décembre 2015 (OLED - RS 814.600).</w:t>
      </w:r>
    </w:p>
    <w:p>
      <w:r>
        <w:rPr>
          <w:b/>
        </w:rPr>
        <w:t>E. 5</w:t>
      </w:r>
    </w:p>
    <w:p>
      <w:r>
        <w:t>L'obligation d'éliminer s'impose au détenteur des déchets. Le détenteur est celui qui a, en fait, un pouvoir de disposition sur les déchets (arrêt du Tribunal fédéral 1A.222/2005 du 12 avril 2006 consid. 5.1). Il ne s'agit donc pas nécessairement de la personne qui est à l'origine de leur production (ATF 119 Ib 492, p. 502). Tous les acteurs du cycle d'élimination des déchets sont visés et non seulement le premier détenteur ; la personne qui collecte des déchets, s'occupe de leur stockage provisoire ou en assure l'élimination d'une manière ou d'une autre est ainsi un détenteur (Flückiger in : Moor/Favre/Flückiger, Commentaire LPE, éd. 2010, ad art. 7, p. 14, N. 25). Ni la qualification en droit civil (propriété, possession) ni la fonction de perturbateur ne sont déterminantes (arrêt du Tribunal fédéral 1A.222/2005 du 12 avril 2006 consid. 5.1).</w:t>
      </w:r>
    </w:p>
    <w:p>
      <w:r>
        <w:rPr>
          <w:b/>
        </w:rPr>
        <w:t>E. 6</w:t>
      </w:r>
    </w:p>
    <w:p>
      <w:r>
        <w:t>La LGD a pour but de régler la gestion de l'ensemble des déchets résultant de l'activité déployée sur le territoire du canton ou éliminés à Genève, à l'exclusion des déchets radioactifs ; elle constitue la loi d'application des dispositions prévues en matière de déchets par la LPE et ses ordonnances d'application (cf. art. 1 LGD).</w:t>
      </w:r>
    </w:p>
    <w:p>
      <w:r>
        <w:rPr>
          <w:b/>
        </w:rPr>
        <w:t>E. 7</w:t>
      </w:r>
    </w:p>
    <w:p>
      <w:r>
        <w:t>Selon l'art. 17 du règlement d'application de la LGD du 28 juillet 1999 (RGD - L 1 20.01), les communes peuvent édicter des règlements communaux sur le bon fonctionnement de leurs infrastructures de collecte et sur leur gestion des déchets ménagers (al. 1), ces règlements pouvant prévoir les sanctions et les mesures prévues dans la loi (al. 2).</w:t>
      </w:r>
    </w:p>
    <w:p>
      <w:r>
        <w:t>- 5/8 - A/3263/2023</w:t>
      </w:r>
    </w:p>
    <w:p>
      <w:r>
        <w:rPr>
          <w:b/>
        </w:rPr>
        <w:t>E. 8</w:t>
      </w:r>
    </w:p>
    <w:p>
      <w:r>
        <w:t>Le règlement de B______ régit la collecte, le transport et l'élimination des déchets sur son territoire, en conformité avec les plans de gestion des déchets du canton, les législations fédérales et cantonales (art. 2 al. 1 du règlement LC 44 911).</w:t>
      </w:r>
    </w:p>
    <w:p>
      <w:r>
        <w:rPr>
          <w:b/>
        </w:rPr>
        <w:t>E. 9</w:t>
      </w:r>
    </w:p>
    <w:p>
      <w:r>
        <w:t>Il prévoit notamment que le dépôt sur le territoire de la commune de tout type de déchets par des personnes qui n'y sont pas domiciliées est interdit (art. 24 al. 8 du règlement LC 44 911).</w:t>
      </w:r>
    </w:p>
    <w:p>
      <w:r>
        <w:rPr>
          <w:b/>
        </w:rPr>
        <w:t>E. 10</w:t>
      </w:r>
    </w:p>
    <w:p>
      <w:r>
        <w:t>En vertu de l'art. 43 al. 1 LGD, est passible d’une amende administrative de 200 francs à 400 000 francs tout contrevenant aux règlements et arrêtés édictés en vertu de la présente loi (let. b).</w:t>
      </w:r>
    </w:p>
    <w:p>
      <w:r>
        <w:rPr>
          <w:b/>
        </w:rPr>
        <w:t>E. 11</w:t>
      </w:r>
    </w:p>
    <w:p>
      <w:r>
        <w:t>Selon l'art. 39 al. 1 du règlement, est passible d’une amende administrative de 100 F à 60 000 F tout contrevenant à la LGD et au RGD (let. a), au présent règlement (let. b) et aux ordres donnés par le Conseil administratif ou un de ses représentants en application de la LGD, de son règlement d’application et du présent règlement communal (let. c).</w:t>
      </w:r>
    </w:p>
    <w:p>
      <w:r>
        <w:rPr>
          <w:b/>
        </w:rPr>
        <w:t>E. 12</w:t>
      </w:r>
    </w:p>
    <w:p>
      <w:r>
        <w:t>Les amendes peuvent être infligées tant à des personnes morales qu'à des personnes physiques (art. 43 al. 2 LGD).</w:t>
      </w:r>
    </w:p>
    <w:p>
      <w:r>
        <w:rPr>
          <w:b/>
        </w:rPr>
        <w:t>E. 13</w:t>
      </w:r>
    </w:p>
    <w:p>
      <w:r>
        <w:t>Les amendes sont infligées par le Conseil administratif sur la base d’un procès- verbal établi par ses représentants ayant constaté la ou les infractions (art. 39 al. 2 du règlement LC 44 911).</w:t>
      </w:r>
    </w:p>
    <w:p>
      <w:r>
        <w:rPr>
          <w:b/>
        </w:rPr>
        <w:t>E. 14</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(cf. not. ATA/559/2021 du 25 mai 2021 consid. 7c ; ATA/206/2020 du 25 février 2020 consid. 4b ; ATA/1277/2018 du 27 novembre 2018 consid. 6b et les références citées).</w:t>
      </w:r>
    </w:p>
    <w:p>
      <w:r>
        <w:rPr>
          <w:b/>
        </w:rPr>
        <w:t>E. 15</w:t>
      </w:r>
    </w:p>
    <w:p>
      <w:r>
        <w:t>En vertu de l'art. 1 let. a de la loi pénale genevoise du 17 novembre 2006 (LPG - E 4 05), les art. 1 à 110 CP s'appliquent à titre de droit cantonal supplétif aux infractions prévues par la législation genevoise, sous réserve de celles qui concernent exclusivement le juge pénal, comme notamment les art. 34 ss, 42 ss, 56 ss, 74 ss, 106 al. 2 et 3 et 107 CP (not. ATA/559/2021 du 25 mai 2021 consid. 7d ; ATA/403/2019 du 9 avril 2019 consid. 7b ; ATA/1277/2018 du 27 novembre 2018 consid. 6c).</w:t>
      </w:r>
    </w:p>
    <w:p>
      <w:r>
        <w:rPr>
          <w:b/>
        </w:rPr>
        <w:t>E. 16</w:t>
      </w:r>
    </w:p>
    <w:p>
      <w:r>
        <w:t>Il est ainsi en particulier nécessaire que le contrevenant ait commis une faute, fût- ce sous la forme d'une simple négligence (cf. ATA/559/2021 du 25 mai 2021 consid. 7d et les références citées).</w:t>
      </w:r>
    </w:p>
    <w:p>
      <w:r>
        <w:rPr>
          <w:b/>
        </w:rPr>
        <w:t>E. 17</w:t>
      </w:r>
    </w:p>
    <w:p>
      <w:r>
        <w:t>Selon la jurisprudence constante, l'administration doit faire preuve de sévérité afin d'assurer le respect de la loi et jouit d'un large pouvoir d'appréciation pour infliger une amende (ATA/403/2019 du 9 avril 2019 consid. 7c ; ATA/1277/2018 du 27</w:t>
      </w:r>
    </w:p>
    <w:p>
      <w:r>
        <w:t>- 6/8 - A/3263/2023 novembre 2018 consid. 6d). Le juge ne la censure qu'en cas d'excès (ATA/403/2019 précité ; ATA/1277/2018 précité).</w:t>
      </w:r>
    </w:p>
    <w:p>
      <w:r>
        <w:rPr>
          <w:b/>
        </w:rPr>
        <w:t>E. 18</w:t>
      </w:r>
    </w:p>
    <w:p>
      <w:r>
        <w:t>Enfin, l'amende doit respecter le principe de la proportionnalité garanti par l'art. 5 al. 2 de la Constitution fédérale de la Confédération suisse du 18 avril 1999 (Cst - RS 101) (cf. ATA/559/2021 du 25 mai 2021 consid. 7d et les arrêts cités ; ATA/313/2017 du 21 mars 2017 ; ATA/871/2015 du 25 août 2015 ; ATA/824/2015 du 11 août 2015), lequel commande que la mesure étatique soit nécessaire et apte à atteindre le but prévu et qu'elle soit raisonnable pour la personne concernée (cf. ATF 140 I 257 consid. 6.3.1 ; 140 II 194 consid. 5.8.2 ; 139 I 218 consid. 4.3).</w:t>
      </w:r>
    </w:p>
    <w:p>
      <w:r>
        <w:rPr>
          <w:b/>
        </w:rPr>
        <w:t>E. 19</w:t>
      </w:r>
    </w:p>
    <w:p>
      <w:r>
        <w:t>À titre liminaire, le tribunal relèvera que la mention erronée figurant dans la décision litigieuse, selon laquelle l’infraction commise relevait de l’art. 16 al. 1 du règlement LC 44 911, procède vraisemblablement d’une erreur ne portant pas à conséquence. En effet, le comportement reproché est clairement indiqué dans la décision litigieuse, soit le : « dépôt sur le territoire de la Commune de tout type de déchets par des personnes qui n’y sont pas domiciliées », ce qui correspond à la teneur de l’art. 24 al. 8 du règlement LC 44 911. L’autorité intimée a ensuite mentionné cette disposition tant dans ses observations du 26 octobre 2023 que dans sa duplique du 12 décembre 2023. L’administrateur a d’ailleurs pu faire valablement valoir ses arguments en lien avec cette infraction, dans le cadre de la présente procédure, exposant notamment les raisons pour lesquelles, il n’avait pas déposé ses déchets dans la déchetterie de son lieu de domicile. Il n’a ainsi nullement été prétérité.</w:t>
      </w:r>
    </w:p>
    <w:p>
      <w:r>
        <w:rPr>
          <w:b/>
        </w:rPr>
        <w:t>E. 20</w:t>
      </w:r>
    </w:p>
    <w:p>
      <w:r>
        <w:t>Cela étant, il est établi que la société et son administrateur sont domiciliés à C______. Or, en date du 14 août 2023, ce dernier a déposé ses déchets à la déchetterie F______ située sur la commune de B______, en violation de l’art. 24 al. 8 du règlement LC 44 911. L’amende paraît ainsi fondée dans son principe, étant précisé que ni la LGD ni le règlement LC 44 911 ne prévoient le prononcé d’un avertissement avant qu’une amende ne soit infligée. Il convient également de relever que l’allégation de l’administrateur quant au fait que sa commune de domicile ne collecterait plus les déchets en plastique n’est d’aucune pertinence et ne justifierait de toute façon pas son comportement. En tout état, cette allégation tombe à faux, dès lors qu’il ressort du courriel du 7 décembre 2023 de la commune de C______, de même que de son site internet, que les flacons en plastique sont récoltés à la déchetterie, alors que les autres déchets en plastique sont récoltés dans les sacs blancs taxés.</w:t>
      </w:r>
    </w:p>
    <w:p>
      <w:r>
        <w:rPr>
          <w:b/>
        </w:rPr>
        <w:t>E. 21</w:t>
      </w:r>
    </w:p>
    <w:p>
      <w:r>
        <w:t>Quant à la quotité de l’amende de CHF 500.-, elle se situe dans le bas de la fourchette fixée par la loi et apparaît proportionnée par rapport à l’infraction et à la faute commise. Compte tenu du pouvoir d'appréciation conféré à l'autorité en la matière, ce montant ne prête pas le flanc à la critique. L’administrateur a certes relevé qu’il était à la retraite depuis cinq ans et que le montant de l’amende était excessif, au regard de ses revenus mensuels qui n’étaient</w:t>
      </w:r>
    </w:p>
    <w:p>
      <w:r>
        <w:t>- 7/8 - A/3263/2023 que de CHF 2'790.-. C’est toutefois perdre de vue que l’amende ne lui a pas été infligée personnellement et qu’elle vise la société uniquement. Or, il ne ressort pas du dossier qu’elle se trouverait dans une situation financière délicate, ce qu’elle n’a d’ailleurs même pas allégué.</w:t>
      </w:r>
    </w:p>
    <w:p>
      <w:r>
        <w:rPr>
          <w:b/>
        </w:rPr>
        <w:t>E. 22</w:t>
      </w:r>
    </w:p>
    <w:p>
      <w:r>
        <w:t>Au vu de ce qui précède, l’amende sera confirmée, tant dans son principe que sa quotité, et le recours sera rejeté.</w:t>
      </w:r>
    </w:p>
    <w:p>
      <w:r>
        <w:rPr>
          <w:b/>
        </w:rPr>
        <w:t>E. 23</w:t>
      </w:r>
    </w:p>
    <w:p>
      <w:r>
        <w:t>En application des art. 87 al. 1 LPA et 1 et 2 du règlement sur les frais, émoluments et indemnités en procédure administrative du 30 juillet 1986 (RFPA - E 5 10.03), la recourante, qui succombe, est condamnée au paiement d’un émolument s'élevant à CHF 250.- ; il est couvert par l’avance de frais versée à la suite du dépôt du recours. Vu l’issue du litige, aucune indemnité de procédure ne sera allouée (art. 87 al. 2 LPA).</w:t>
      </w:r>
    </w:p>
    <w:p>
      <w:r>
        <w:t>- 8/8 - A/3263/2023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