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JTAPI/436/2024 vom 8. Mai 2024</w:t>
      </w:r>
    </w:p>
    <w:p>
      <w:r>
        <w:t>GE Cour de justice, 2024-05-08, FR</w:t>
      </w:r>
    </w:p>
    <w:p>
      <w:r>
        <w:rPr>
          <w:b/>
        </w:rPr>
        <w:t xml:space="preserve">Quelle: </w:t>
      </w:r>
      <w:r>
        <w:t>https://mcp.opencaselaw.ch/entscheid/ge_gerichte_JTAPI_436_2024</w:t>
      </w:r>
    </w:p>
    <w:p>
      <w:r>
        <w:t>FR: GE_GERICHTE JTAPI/436/2024 du 8 mai 2024</w:t>
      </w:r>
    </w:p>
    <w:p>
      <w:r>
        <w:t>IT: GE_GERICHTE JTAPI/436/2024 del 8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arguments formulés par les parties à l’appui de leurs conclusions respectives et le contenu des pièces qu’elles ont produites seront repris et discutés dans la seule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 Aussi peut-il admettre le recours pour d’autres motifs que ceux invoqués par le recourant, comme il peut le rejeter en opérant une substitution de motifs (cf. ATF 135 III 397 consid. 1.4 ; arrêts du Tribunal fédéral 2C_540/2013 du 5 décembre 2013 consid. 3 ; 2C_349/2012 du 18 mars 2013 consid. 2.1 ; arrêt du Tribunal administratif fédéral F-1734/2019 du 23 mars 2020 consid. 2).</w:t>
      </w:r>
    </w:p>
    <w:p>
      <w:r>
        <w:rPr>
          <w:b/>
        </w:rPr>
        <w:t>E. 4</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4.1</w:t>
      </w:r>
    </w:p>
    <w:p>
      <w:r>
        <w:t>; 2P.20/2005 du 13 avril 2005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w:t>
      </w:r>
    </w:p>
    <w:p>
      <w:r>
        <w:rPr>
          <w:b/>
        </w:rPr>
        <w:t>E. 5</w:t>
      </w:r>
    </w:p>
    <w:p>
      <w:r>
        <w:t>En l’occurrence, le litige porte sur la validité des deux ordres compris dans la décision querellée, soit l’ordre d’enlever les véhicules présents sur la parcelle, que le département qualifie de mesure d’exécution, ce que conteste le recourant, ainsi que l’ordre d’évacuer et de supprimer les autres objets érigés sans droit et identifiés</w:t>
      </w:r>
    </w:p>
    <w:p>
      <w:r>
        <w:t>- 9/23 - A/1834/2023 dans la décision litigieuse, dont aucune des parties ne conteste – à juste titre – le caractère final.</w:t>
      </w:r>
    </w:p>
    <w:p>
      <w:r>
        <w:rPr>
          <w:b/>
        </w:rPr>
        <w:t>E. 6</w:t>
      </w:r>
    </w:p>
    <w:p>
      <w:r>
        <w:t>Il convient donc de trancher en préambule la question de la recevabilité du recours s’agissant de l’ordre d’enlever les véhicules.</w:t>
      </w:r>
    </w:p>
    <w:p>
      <w:r>
        <w:rPr>
          <w:b/>
        </w:rPr>
        <w:t>E. 7</w:t>
      </w:r>
    </w:p>
    <w:p>
      <w:r>
        <w:t>Selon l’art. 59 let. b LPA, le recours n’est pas recevable contre les mesures d’exécution des décisions. La notion de « mesures » à laquelle se réfère cette disposition s’interprète largement et ne comprend pas seulement les actes matériels destinés à assurer l’application de décisions, mais également toutes les décisions mettant en œuvre ces dernières (cf. ATA/920/2019 du 21 mai 2019 consid. 2 ; ATA/1438/2017 du 31 octobre 2017 consid. 5b ; ATA/974/2014 du 9 décembre 2014 consid. 2b et les références citées).</w:t>
      </w:r>
    </w:p>
    <w:p>
      <w:r>
        <w:rPr>
          <w:b/>
        </w:rPr>
        <w:t>E. 8</w:t>
      </w:r>
    </w:p>
    <w:p>
      <w:r>
        <w:t>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 arrêts du Tribunal fédéral 1C_650/2018 du 22 mai 2019 consid. 4.1.2 ; 1C_310/2018 du 9 janvier 2019 consid. 3.1 ; 1C_6/2014 du 18 juillet 2014 consid. 1.2.1 ; 1C_603/2012 du 19 septembre 2013 consid. 4.1 ; cf. aussi ATA/920/2019 du 21 mai 2019 consid. 2a ; ATA/1438/2017 du 31 octobre 2017 consid. 5b ; ATA/974/2014 du 9 décembre 2014 consid. 2b et les arrêts cités).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 arrêts du Tribunal fédéral 1C_650/2018 du 22 mai 2019 consid. 4.1.2 ; 1C_310/2018 du 9 janvier 2019 consid. 3.1 ; 1C_6/2014 du 18 juillet 2014 consid. 1.2.1 ; 1C_603/2012 du 19 septembre 2013 consid. 4.1). En tout état,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 arrêts du Tribunal fédéral 1C_650/2018 du 22 mai 2019 consid. 4.1.2 ; 1C_6/2014 du 18 juillet 2014 consid. 1.2.1 ; 1C_603/2012 du 19 septembre 2013 consid. 4.1 ; cf. aussi ATA/920/2019 du 21 mai 2019 consid. 2a ; ATA/1438/2017 du 31 octobre 2017 consid. 5b). L’élément déterminant est donc de savoir quels sont les actes qui règlent une question nouvelle. Contre ces actes, les recours prévus par la loi seront ouverts. Si, donc, au moment où est décidé le recours à une mesure d’exécution, notamment à travers la commination, l’administré ne saurait en principe contester l’obligation de base qui, par hypothèse, a déjà été posée par une décision antérieure, il lui est toujours possible de remettre en cause les modalités de l’exécution, notamment le</w:t>
      </w:r>
    </w:p>
    <w:p>
      <w:r>
        <w:t>- 10/23 - A/1834/2023 choix de la mesure envisagée, le délai d’exécution qui lui a été fixé par sommation ou, en cas de sanction, la quotité de celle-ci. Ainsi, contrairement à ce que sa lettre pourrait laisser croire, l’art. 59 let. b LPA ne signifie pas que toutes les mesures visant l’exécution d’une décision préalable seraient soustraites à un recours. Il faut plutôt considérer qu’il rappelle le principe qu’une décision de base ne peut, en principe, être remise en cause à l’occasion d’une nouvelle décision qui exécute l’acte de base (cf. Thierry TANQUEREL, Manuel de droit administratif, 2ème éd., 2018, n. 1149 ss p. 388 s. ; cf. aussi ATA/448/2007 du 4 septembre 2007 consid. 3 in fine, qui semble aller implicitement dans ce sens ; cf. encore Pierre MOOR/ Etienne POLTIER, Droit administratif, vol. II, 3ème éd., 2011, p. 115 s ; Stéphane GRODECKI/Romain JORDAN, Code annoté de procédure administrative genevoise, 2017, n. 683 p. 180).</w:t>
      </w:r>
    </w:p>
    <w:p>
      <w:r>
        <w:rPr>
          <w:b/>
        </w:rPr>
        <w:t>E. 9</w:t>
      </w:r>
    </w:p>
    <w:p>
      <w:r>
        <w:t>En l’espèce, contrairement à ce que prétend le recourant, l’ordre d’enlèvement des véhicules stationnés sur la parcelle n° 1______ dans le cadre de son activité commerciale de vente de véhicules d’occasion fait manifestement déjà l’objet d’une décision entrée en force. En effet, cette question a déjà été tranchée par l’ancienne CCRA dans sa décision du ______ 2009 (procédure A/14_____). Ainsi, force est de constater que le recourant tente une nouvelle fois de jouer sur les mots lorsqu’il exprime l’idée que l’ordre d’enlèvement du ______ 2009 serait lié uniquement à l’exécution des travaux d’office précédemment ordonnés. Il est en effet patent que lesdits travaux visaient le rétablissement d’une situation conforme au droit, dont en particulier l’enlèvement des véhicules concernés, conformément à la décision du département du 1er juillet 2004, entrée en force. De ce fait, il est évident que l’ordre d’enlèvement des véhicules d’occasion doit être qualifié de mesure d’exécution, de sorte que le recours sera déclaré irrecevable sur ce point. Ce constat a pour conséquence que les arguments en lien avec cette décision, soit ceux relatifs à la proportionnalité, à la protection de la bonne foi et à l’égalité de traitement de l’ordre d’enlèvement des véhicules, sont exorbitants au litige.</w:t>
      </w:r>
    </w:p>
    <w:p>
      <w:r>
        <w:rPr>
          <w:b/>
        </w:rPr>
        <w:t>E. 10</w:t>
      </w:r>
    </w:p>
    <w:p>
      <w:r>
        <w:t>En revanche, s’agissant du délai d’exécution, il s’agit là d’une question nouvelle qui peut être examinée par le tribunal de céans.</w:t>
      </w:r>
    </w:p>
    <w:p>
      <w:r>
        <w:rPr>
          <w:b/>
        </w:rPr>
        <w:t>E. 11</w:t>
      </w:r>
    </w:p>
    <w:p>
      <w:r>
        <w:t>À titre préalable, le recourant sollicite la comparution personnelle des parties, la production par l’autorité intimée d’un dossier complet et du dossier de l'autorisation de construire de principe délivrée le ______ 1965 ainsi que la tenue d'un transport sur place. Il soulève également la question de l’appel en cause de la commune.</w:t>
      </w:r>
    </w:p>
    <w:p>
      <w:r>
        <w:rPr>
          <w:b/>
        </w:rPr>
        <w:t>E. 12</w:t>
      </w:r>
    </w:p>
    <w:p>
      <w:r>
        <w:t>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w:t>
      </w:r>
    </w:p>
    <w:p>
      <w:r>
        <w:t>- 11/23 - A/1834/2023 des preuves essentielles ou à tout le moins de s’exprimer sur son résultat, lorsque cela est de nature à influer sur la décision à rendre (ATF 138 I 154 consid. 2.3.2 ; 137 I 195 consid. 2.3.1 ; 136 I 265 consid. 3.2 ; 135 II 286 consid. 5.1 ; arrêt du Tribunal fédéral 6B_123/2013 du 10 juin 2013 consid. 1.1). Aux termes de l’art. 67 al. 1 LPA, dès le dépôt du recours, le pouvoir de traiter l’affaire qui en fait l’objet passe à l’autorité de recours. La jurisprudence admet que le tribunal, peut, sur la base des art. 19 et 20 LPA, demander toutes précisions écrites à une instance de préavis, au même titre qu’il peut l’entendre en audience de comparution personnelle ou la convoquer à un transport sur place pour qu’elle détaille sa position (ATA/414/2017 du 11 avril 2017 consid. 4a ; ATA/1187/2015 du 3 novembre 2015 consid. 3b ; ATA/636/2015 du 16 juin 2015 consid. 4).</w:t>
      </w:r>
    </w:p>
    <w:p>
      <w:r>
        <w:rPr>
          <w:b/>
        </w:rPr>
        <w:t>E. 13</w:t>
      </w:r>
    </w:p>
    <w:p>
      <w:r>
        <w:t>Cependant, l’ensemble des actes d’instruction ne sont pas obligatoires (cf. not. art. 41 in fine LPA ; ATF 140 I 68 consid. 9.6.1 ; 134 I 140 consid. 5.3 ; arrêts du Tribunal fédéral 5D_204/2016 du 15 mars 2017 consid. 4.4 ; 5A_792/2016 du 23 janvier 2017 consid. 3.4 ; 6B_594/2015 du 29 février 2016 consid. 2.1 ; ATA/1637/2017 du 19 décembre 2017 consid. 3d, s’agissant de l’audition orale des parties ; arrêts du Tribunal fédéral 1C_243/2013 du 27 septembre 2013 consid. 3.2.1 ; 1C_327/2009 du 5 novembre 2009 consid. 3.1 ; ATA/720/2012 du 30 octobre 2012 et ATA/384/2011 du 21 juin 2011, s’agissant de l’inspection locale) dès lors qu’ils n’apparaissent pas indispensables, si le dossier contient déjà les éléments utiles et nécessaires permettant au tribunal de statuer en connaissance de cause sur le litige (ATF 140 I 285 consid. 6.3.1 ; 137 III 208 consid. 2.2 ; 136 I 229 consid. 5.2 ; arrêts du Tribunal fédéral 2C_109/2015, 2C_110/2015 du 1er septembre 2015 consid. 4.1 ; 1C_61/2011 du 4 mai 2011 consid. 3.1).</w:t>
      </w:r>
    </w:p>
    <w:p>
      <w:r>
        <w:rPr>
          <w:b/>
        </w:rPr>
        <w:t>E. 14</w:t>
      </w:r>
    </w:p>
    <w:p>
      <w:r>
        <w:t>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15</w:t>
      </w:r>
    </w:p>
    <w:p>
      <w:r>
        <w:t>En l’espèce, le tribunal estime disposer d’un dossier complet lui permettant de trancher le présent litige en toute connaissance de cause. En effet, la consultation du SITG ainsi que du dossier de l’infraction concernée, accompagnés notamment des pièces produites par le recourant, permettent d’avoir une image suffisamment nette et précise de la situation en cause. Enfin, le recourant a eu la possibilité de faire valoir ses arguments, dans le cadre de son recours et de produire tout moyen de preuve utile en annexe de ces écritures, sans qu’il n’explique quels éléments la procédure écrite l’aurait empêché d’exprimer de manière pertinente et complète. Dans ces circonstances, le tribunal, procédant à une appréciation anticipée des preuves, considère que la comparution personnelle des parties ne serait pas de nature à changer sa conviction. Il en va de même d'un transport sur place, dès lors qu'une telle mesure d'instruction aurait pour objet de faire constater les mêmes éléments que ceux apparaissant suffisamment clairement à la lecture des éléments</w:t>
      </w:r>
    </w:p>
    <w:p>
      <w:r>
        <w:t>- 12/23 - A/1834/2023 du dossier, cette mesure d’instruction n'apparaît donc pas susceptible de fournir des informations pertinentes supplémentaires. S’agissant de sa conclusion préalable tendant à la production par l’autorité intimée d’un dossier complet, il ressort des éléments du dossier que par courriel du 13 mars 2023, le département a informé le conseil du recourant que le dossier complet d’infraction était à sa disposition pour consultation auprès de la réception de la direction des autorisations de construire. Certes, il estimait que le dossier mis à sa disposition n’était pas complet, en faisant essentiellement référence au courriel du 26 mars 2022 de M. E______ dénonçant la situation au département, cependant force est de constater que dans son recours, il décrit avec précision le contenu dudit courriel qu’il a, au surplus, produit dans son bordereau de pièces accompagnant sa réplique. Il est ainsi patent qu’il a eu l’occasion de consulter le dossier complet auprès du département avant le prononcé de la décision querellée. Au demeurant, il a également eu la possibilité de consulter le dossier auprès du tribunal de céans dans le cadre de l’instruction de son recours. S’agissant de la demande de production du dossier relatif à l'autorisation de construire de principe qui aurait été délivrée le ______ 1965 à la société D______ SA et par une appréciation anticipée des preuves, le tribunal retiendra qu’il ressort déjà de l'arrêté produit que ladite autorisation ne visait que la construction d'une station-service et non pas à permettre l'exploitation d'une activité en lien avec le commerce de véhicules. Dans cette mesure, la production du dossier relatif à cette autorisation de construire de principe n'apparait pas pertinente, de sorte qu'il ne sera pas donné suite à cette demande de mesure d'instruction. Enfin, s’agissant de l’appel en cause de la commune, en application de l’art. 71 al. 1 LPA, rien n’indique que la situation juridique de celle-ci serait susceptible d’être affectée par l’issue de la procédure de remise en conformité au droit, hormis le fait que la situation se passe sur son territoire. Au demeurant, le recourant se limite à soulever la question, sans expliquer en quoi l’appel en cause de la commune devrait être ordonné. Dans cette mesure, l’appel en cause de cette dernière ne sera pas ordonné. En conséquence, les demandes de mesures d’instruction, en soi non obligatoires, sont rejetées.</w:t>
      </w:r>
    </w:p>
    <w:p>
      <w:r>
        <w:rPr>
          <w:b/>
        </w:rPr>
        <w:t>E. 16</w:t>
      </w:r>
    </w:p>
    <w:p>
      <w:r>
        <w:t>Reste ainsi à examiner la conformité au droit de l’ordre d’évacuation des éléments cités dans la seconde partie de la décision querellée, soit des revêtements de sol, d’une piscine et d’autres installations d’agréments sur le fond de la parcelle, des installations diverses le long de la parcelle n° 11______ , d’une clôture ainsi qu’un portail le long de la route.</w:t>
      </w:r>
    </w:p>
    <w:p>
      <w:r>
        <w:rPr>
          <w:b/>
        </w:rPr>
        <w:t>E. 17</w:t>
      </w:r>
    </w:p>
    <w:p>
      <w:r>
        <w:t>Le recourant prétend que son droit d’être entendu aurait été violé, dans la mesure où la motivation de la décision querellée serait insuffisante et qu’il n’aurait pas pu faire valoir ses observations avant le prononcé de la décision, en raison de la communication par courriel qu’il n’aurait pas acceptée.</w:t>
      </w:r>
    </w:p>
    <w:p>
      <w:r>
        <w:t>- 13/23 - A/1834/2023</w:t>
      </w:r>
    </w:p>
    <w:p>
      <w:r>
        <w:rPr>
          <w:b/>
        </w:rPr>
        <w:t>E. 18</w:t>
      </w:r>
    </w:p>
    <w:p>
      <w:r>
        <w:t>La garantie du droit d’être entendu, dont les fondements juridiques ont déjà été présentés dans les considérants qui précèdent, constitue 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 Le droit d’être entendu n’est toutefois pas une fin en soi, mais constitue un moyen d’éviter qu’une procédure judiciaire ne débouche sur un jugement vicié en raison de la violation du droit des parties de participer à la procédure. Lorsque l’on ne voit pas quelle influence la violation du droit d’être entendu a pu avoir sur la procédure, il n’y a pas lieu d’annuler la décision attaquée pour ce seul motif (arrêts du Tribunal fédéral 6B_93/2014 du 21 août 2014 consid. 3.1.3 ; 4A_153/2009 du 1er mai 2009 consid.</w:t>
      </w:r>
    </w:p>
    <w:p>
      <w:r>
        <w:rPr>
          <w:b/>
        </w:rPr>
        <w:t>E. 19</w:t>
      </w:r>
    </w:p>
    <w:p>
      <w:r>
        <w:t>Ce droit implique également pour l’autorité l’obligation de motiver sa décision (ATF 146 II 335 consid. 5.1). L’art. 46 al. 1 LPA fait ainsi obligation aux autorités administratives de rendre des décisions motivées. Selon une jurisprudence constante, le droit d’être entendu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se limiter à l’examen des questions décisives pour l’issue du litige. La motivation peut d’ailleurs être implicite et résulter des différents considérants de la décision (arrêt du Tribunal fédéral 6B_468/2022 du 12 janvier 2023 consid. 1.1). L’autorité peut passer sous silence ce qui, sans arbitraire, lui paraît à l’évidence non établi ou sans pertinence. Il n’y a ainsi violation du droit d’être entendu que si elle ne satisfait pas à son devoir minimum d’examiner les problèmes pertinents (ATF 129 I 232 consid. 3.2). L’autorité n’est pas tenue de prendre position sur tous les moyens des parties ; elle peut se limiter aux questions décisives, mais doit se prononcer sur celles-ci (ATF 138 I 232 consid. 5.1 ; 137 II 266 consid. 3.2 ; 136 I 229 consid. 5.2 ; 134 I 83 consid. 4.1 et les arrêts cités ; arrêts du Tribunal fédéral 2C_597/2013 du 28 octobre 2013 consid. 5.2 ; 2C_713/2013 du 22 août 2013 consid. 2 ; 2D_2/2012 du 19 avril 2012 consid. 3.1 ; Thierry TANQUEREL, op. cit., n. 1573 p. 531). Il suffit, du point</w:t>
      </w:r>
    </w:p>
    <w:p>
      <w:r>
        <w:t>- 14/23 - A/1834/2023 de vue de la motivation de la décision, que les parties puissent se rendre compte de sa portée à leur égard et, le cas échéant, recourir contre elle en connaissance de cause (ATF 136 I 184 consid. 2.2.1 ; arrêts du Tribunal fédéral 2C_594/2014 du 15 janvier 2015 consid. 5.1 ; 1C_665/2013 du 24 mars 2014 consid. 2.1 ; 1C_246/2013 du 4 juin 2013 consid. 2.1 et les arrêts cités ; ATA/679/2015 du 23 juin 2015 consid. 7 et les arrêts cités).</w:t>
      </w:r>
    </w:p>
    <w:p>
      <w:r>
        <w:rPr>
          <w:b/>
        </w:rPr>
        <w:t>E. 20</w:t>
      </w:r>
    </w:p>
    <w:p>
      <w:r>
        <w:t>Les décisions sont notifiées aux parties, le cas échéant à leur domicile élu auprès de leur mandataire, par écrit. Elles peuvent être notifiées par voie électronique aux parties qui ont expressément accepté cette forme de communication. Le Conseil d’État règle les modalités de la notification électronique par voie réglementaire (art. 46 al. 2 LPA).</w:t>
      </w:r>
    </w:p>
    <w:p>
      <w:r>
        <w:rPr>
          <w:b/>
        </w:rPr>
        <w:t>E. 21</w:t>
      </w:r>
    </w:p>
    <w:p>
      <w:r>
        <w:t>En l’espèce, la décision querellée mentionne les bases légales applicables, la voie de recours utile et indique clairement les éléments dont l’évacuation et la suppression sont demandées au recourant. Par ailleurs, à l’occasion du courriel du 28 février 2023, le département a explicité de manière détaillée les nouveaux aménagements réalisés sans droit dont l’enlèvement est exigé. En outre, par courriel du 13 mars 2023, le département a informé le conseil du recourant que le dossier complet d’infraction était à sa disposition pour consultation auprès de la réception de la direction des autorisations de construire. Au vu de ces éléments, il ne peut qu’être retenu que le recourant a manifestement très bien saisi le sens et la portée de l’ordre litigieux, ce qui lui a permis d’exercer son droit de recours en temps utile et en faisant valoir ses arguments et les faits pertinents sur lesquels il se fonde. En tout état, un éventuel défaut de motivation peut être réparé par la prise de position de l’autorité intimée, suite à un recours, si, comme en l’espèce, l’administré se voit offrir la possibilité de s’exprimer à son sujet et que l’autorité de recours peut examiner librement les questions de fait et de droit (cf. ATF 133 I 201 consid. 2.2 ; arrêt du Tribunal fédéral 1C_272/2010 du 16 mars 2011 consid. 2.6.2 ; Thierry TANQUEREL, op. cit., n. . 1577 p. 522 et les arrêts cités). Concernant la dénonciation, il est évident qu’elle n’a pas joué un rôle aussi majeur que l’affirme le recourant, dès lors qu’il faisait déjà l’objet d’un ordre de remise en état visant la remise en conformité au droit du terrain naturel, vierge de toute construction depuis de nombreuses années, soit bien avant l’envoi de la dénonciation de M. E______ en 2022. Enfin, concernant la notification électronique en lien avec le courriel du 28 février 2023, il doit être relevé d’emblée que dans le cadre de la procédure devant le département, les parties ont échangé entre elles tantôt par courrier postal, tantôt par courriers électroniques. En particulier, suite au courriel du 28 février 2023, le conseil du recourant a communiqué lui-aussi par courriel du 9 mars 2023 avec le département expliquant que son client lui avait transféré ledit courriel - tout en contestant son contenu. À cela s’ajoute qu’à l’occasion des échanges de courriels visant la mise à disposition du dossier d’infraction, le conseil du recourant a indiqué au département, par courriel du 13 mars 2023, qu’une copie complète numérique «</w:t>
      </w:r>
    </w:p>
    <w:p>
      <w:r>
        <w:t>- 15/23 - A/1834/2023 [irait] très bien ». Dans cette mesure, si le recourant n’a certes pas expressément manifesté son accord par écrit, il peut néanmoins être admis que, par les échanges de courriels intervenus entre les parties, le recourant a manifesté son accord avec cette forme de communication, à tout le moins par actes concluants. La question d’une éventuelle violation du droit d’être entendu du recourant peut de toute façon souffrir de rester ouverte, dès lors que celle-ci aurait en tous les cas été réparée à l’occasion de la procédure devant le tribunal de céans. Le grief est donc écarté.</w:t>
      </w:r>
    </w:p>
    <w:p>
      <w:r>
        <w:rPr>
          <w:b/>
        </w:rPr>
        <w:t>E. 22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op.cit., n. 515 p. 179).</w:t>
      </w:r>
    </w:p>
    <w:p>
      <w:r>
        <w:rPr>
          <w:b/>
        </w:rPr>
        <w:t>E. 23</w:t>
      </w:r>
    </w:p>
    <w:p>
      <w:r>
        <w:t>Le recourant estime que l’ordre de remise en état serait contraire aux principes de la bonne foi et de proportionnalité, et que son intérêt privé à maintenir son activité professionnelle serait prépondérant.</w:t>
      </w:r>
    </w:p>
    <w:p>
      <w:r>
        <w:rPr>
          <w:b/>
        </w:rPr>
        <w:t>E. 24</w:t>
      </w:r>
    </w:p>
    <w:p>
      <w:r>
        <w:t>De jurisprudence constante, pour être valable, un ordre de mise en conformité doit respecter cinq conditions. Premièrement, il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(ATA/225/ 2023 du 7 mars 2023 consid. 3b).</w:t>
      </w:r>
    </w:p>
    <w:p>
      <w:r>
        <w:rPr>
          <w:b/>
        </w:rPr>
        <w:t>E. 25</w:t>
      </w:r>
    </w:p>
    <w:p>
      <w:r>
        <w:t>Au surplus, le principe de proportionnalité garanti par l’art. 5 al. 2 Cst. doit être respecté. Celui-ci exige qu’une mesure restrictive soit apte à produire les résultats</w:t>
      </w:r>
    </w:p>
    <w:p>
      <w:r>
        <w:t>- 16/23 - A/1834/2023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w:t>
      </w:r>
    </w:p>
    <w:p>
      <w:r>
        <w:rPr>
          <w:b/>
        </w:rPr>
        <w:t>E. 26</w:t>
      </w:r>
    </w:p>
    <w:p>
      <w:r>
        <w:t>Les mesures nécessaires à éliminer une situation contraire au droit doivent être dirigées contre le perturbateur,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(ATA/ 432/2022 du 26 avril 2022 consid. 2c).</w:t>
      </w:r>
    </w:p>
    <w:p>
      <w:r>
        <w:rPr>
          <w:b/>
        </w:rPr>
        <w:t>E. 27</w:t>
      </w:r>
    </w:p>
    <w:p>
      <w:r>
        <w:t>En 1981, dans une affaire relative à une construction située en zone à bâtir, le Tribunal fédéral a retenu que le rétablissement d’une situation conforme au droit ne pouvait pas être ordonné si un délai de plus de trente ans s’était écoulé depuis l’exécution des travaux non autorisés (ATF 107 Ia 121). Par la suite, il a admis, à plusieurs reprises, le principe de la prescription trentenaire hors de la zone à bâtir, sans se prononcer concrètement sur son application dans les cas d’espèces. Cette jurisprudence visait uniquement la question du rétablissement d’une situation conforme au droit : le fait qu’une affectation illégale perdurait depuis plus de trente ans sans intervention des autorités communales et cantonales n’avait pas pour effet de la rendre licite, mais s’opposait tout au plus à une remise en état des lieux (arrêt du Tribunal fédéral 1C_2/2020 du 13 mai 2020 consid. 2.2 ; ATA/ 635/2018 du 19 juin 2018 consid. 9b).</w:t>
      </w:r>
    </w:p>
    <w:p>
      <w:r>
        <w:rPr>
          <w:b/>
        </w:rPr>
        <w:t>E. 28</w:t>
      </w:r>
    </w:p>
    <w:p>
      <w:r>
        <w:t>Dans un arrêt du 28 avril 2021, le Tribunal fédéral a précisé qu’à l’inverse de ce qui prévalait pour les zones à bâtir, l’obligation de rétablir un état conforme au droit ne s’éteignait pas après trente ans s’agissant de bâtiments et installations érigés illégalement en dehors de la zone à bâtir (ATF 147 II 309 consid. 4 et 5). En particulier, s’il pouvait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(ATF 147 II 309 consid. 5.5 et 5.6 ; arrêt 1C_60/2021 du 27 juillet 2021 consid. 3.2.1). Cette jurisprudence est régulièrement appliquée par la chambre administrative (cf. ATA/225/2023 du 7 mars 2023 consid. 5).</w:t>
      </w:r>
    </w:p>
    <w:p>
      <w:r>
        <w:rPr>
          <w:b/>
        </w:rPr>
        <w:t>E. 29</w:t>
      </w:r>
    </w:p>
    <w:p>
      <w:r>
        <w:t>Des constructions ou aménagements formellement non autorisés doivent en principe être démolis s’ils ne peuvent pas être légalisés a posteriori (ATF 136 II 359 consid. 6), surtout lorsqu’ils sont réalisés en dehors de la zone à bâtir car le principe</w:t>
      </w:r>
    </w:p>
    <w:p>
      <w:r>
        <w:t>- 17/23 - A/1834/2023 de la séparation de l’espace bâti et non bâti, qui préserve différents intérêts publics, est de rang constitutionnel et fait partie intégrante de la notion d’utilisation mesurée du sol de l’art. 75 al. 1 Cst. (cf. Message du Conseil fédéral du 20 janvier 2010 relatif à une révision partielle de la LAT, FF 2010 964 ch. 1.2.1 et 973 ch. 2.1 ; arrêt du Tribunal fédéral 1C_76/2019 du 28 février 2020 consid. 7.1 et les références citées). Cette séparation doit par conséquent, en dehors des exceptions prévues par la loi, demeurer d’application stricte (ATF 132 II 21 consid. 6.4 ; arrêt du Tribunal fédéral 1A.301/2000 du 28 mai 2001 consid. 6c) et l’ordre de démolir une construction ou un ouvrage édifié sans permis et pour lequel une autorisation ne pouvait être accordée n’est en principe pas contraire au principe de proportionnalité. Si des constructions illégales sont indéfiniment tolérées, ce principe de séparation est remis en question et un comportement contraire au droit s’en trouve récompensé (arrêt du Tribunal fédéral 1C_76/2019 du 28 février 2020 consid. 7.1), alors que celui qui place l’autorité devant un fait accompli doit au contraire s’attendre à ce que celle-ci se préoccupe plus de rétablir une situation conforme au droit que d’éviter les inconvénients qui en découlent pour lui (ATF 123 II 248 consid. 4a et les références ; arrêts du Tribunal fédéral 1C_60/2021 du 27 juillet 2021 consid. 3.1). S’ajoute à cela que la remise en état poursuit encore d’autres intérêts publics, à savoir la limitation du nombre et des dimensions des constructions en zone agricole (cf. ATF 132 II 21 consid. 6.4 ; ATF 111 Ib 213 consid. 6b ; arrêt du Tribunal fédéral 1A.301/2000 du 28 mai 2001 consid. 6c) ainsi que le respect du principe de l’égalité devant la loi (arrêt du Tribunal fédéral 1C_276/2016 du 2 juin 2017 consid. 3.3). Le Tribunal fédéral est particulièrement strict en zone agricole et a ainsi confirmé les ordres de démolition ou d’enlèvement des constructions ou installations suivantes érigées sans autorisation : une palissade en bois, un mobil-home, un chalet, un sous-sol, des containers utilisés pour loger des employés d’une exploitation agricole, un appentis de 12,54 m2 et un cabanon de jardin de 10,29 m2 (arrêt du tribunal fédéral 1C_482/2017 du 26 février 2018), un paddock et un abri pour chevaux (arrêt du Tribunal fédéral 1C_589/2017 du 16 novembre 2018). De manière générale dans l’examen de proportionnalité, les intérêts des propriétaires sont, à juste titre, mis en retrait par rapport à l’importance de préserver la zone agricole d’installations qui n’y ont pas leur place. Concernant le canton de Genève,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w:t>
      </w:r>
    </w:p>
    <w:p>
      <w:r>
        <w:t>- 18/23 - A/1834/2023 privé du recourant à mettre en place diverses installations non autorisées et non autorisables sur la parcelle (ATA/1370/2018 du 18 décembre 2018 consid. 10). Dans un autre arrêt, elle a également confirmé un ordre de démolition, en zone à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(ATA/213/2018 du 6 mars 2018 consid. 12). 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w:t>
      </w:r>
    </w:p>
    <w:p>
      <w:r>
        <w:rPr>
          <w:b/>
        </w:rPr>
        <w:t>E. 30</w:t>
      </w:r>
    </w:p>
    <w:p>
      <w:r>
        <w:t>L’inaction de l’autorité face à une construction illicite ne lie cette dernière que si elle peut être assimilée à une tolérance « active ». Pour cela,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Les constructions « illicites » en droit public - notions, mesures administratives, sanctions, Journées suisses du droit de la construction, Fribourg 2019, p. 223).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1C_114/2011 du 8 juin 2011 consid. 4.2 ; 1C_181/2009 du 24 juin 2009 consid. 3.3). Des délais de vingt-quatre voire vingt ans peuvent suffire (arrêt du Tribunal fédéral 1C_176/2009 du 28 janvier 2010 consid. 2.2.2 et les références citées). Récemment, la chambre administrative a retenu une telle violation dans le cadre de la présence d’un paddock et d’un marcheur dans un manège pendant plus de vingt ans (ATA/77/2023 du 24 janvier 2023).</w:t>
      </w:r>
    </w:p>
    <w:p>
      <w:r>
        <w:rPr>
          <w:b/>
        </w:rPr>
        <w:t>E. 31</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rPr>
          <w:b/>
        </w:rPr>
        <w:t>E. 32</w:t>
      </w:r>
    </w:p>
    <w:p>
      <w:r>
        <w:t>À certaines conditions, le principe de la bonne foi protège le citoyen dans la confiance légitime qu’il met dans les assurances reçues des autorités lorsqu’il a</w:t>
      </w:r>
    </w:p>
    <w:p>
      <w:r>
        <w:t>- 19/23 - A/1834/2023 réglé sa conduite d’après des décisions, des déclarations ou un comportement déterminé de l’administration (ATF 141 V 530 consid. 6.2 ; arrêts du Tribunal fédéral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w:t>
      </w:r>
    </w:p>
    <w:p>
      <w:r>
        <w:t>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w:t>
      </w:r>
    </w:p>
    <w:p>
      <w:r>
        <w:t>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t>Le principe de la confiance est toutefois un élément à prendre en considération et non un facteur donnant en tant que tel naissance à un droit (arrêt du Tribunal fédéral 2P.170/2004 du 14 octobre 2004 ; Thierry TANQUEREL, op. cit., n. 569 p. 193 et les références citées).</w:t>
      </w:r>
    </w:p>
    <w:p>
      <w:r>
        <w:rPr>
          <w:b/>
        </w:rPr>
        <w:t>E. 33</w:t>
      </w:r>
    </w:p>
    <w:p>
      <w:r>
        <w:t>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 des divers intérêts publics et privés en présence (ATA/1399/2019 du 17 septembre 2019 consid. 3c et l’arrêt cité ; ATA/336/2011 du 24 mai 2011 consid. 3b).</w:t>
      </w:r>
    </w:p>
    <w:p>
      <w:r>
        <w:rPr>
          <w:b/>
        </w:rPr>
        <w:t>E. 34</w:t>
      </w:r>
    </w:p>
    <w:p>
      <w:r>
        <w:t>La proportionnalité au sens étroit implique une pesée des intérêts. C’est à ce titre que le département peut renoncer à ordonner la remise en conformité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 544/2014 du 1er avril 2015 consid. 4.2), si celui-ci pouvait de bonne foi se croire</w:t>
      </w:r>
    </w:p>
    <w:p>
      <w:r>
        <w:t>- 20/23 - A/1834/2023 autorisé à construire ou encore s’il y a des chances sérieuses de faire reconnaître la construction comme conforme au droit (cf. ATF 132 II 21 consid. 6 ; 123 II 248 consid. 3a/bb ; arrêt du Tribunal fédéral 1C_60/2021 du 27 juillet 2021 consid. 3.1 ; ATA/1399/2019 du 17 septembre 2019 consid. 3c), si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 2014 du 1er avril 2015 consid. 4.2).</w:t>
      </w:r>
    </w:p>
    <w:p>
      <w:r>
        <w:t>Le postulat selon lequel le respect du principe de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op. cit., p. 218).</w:t>
      </w:r>
    </w:p>
    <w:p>
      <w:r>
        <w:rPr>
          <w:b/>
        </w:rPr>
        <w:t>E. 35</w:t>
      </w:r>
    </w:p>
    <w:p>
      <w:r>
        <w:t>En l’occurrence, le recourant, en tant que propriétaire de la parcelle où se situe les objets litigieux, est – à tout le moins – perturbateur par situation.</w:t>
      </w:r>
    </w:p>
    <w:p>
      <w:r>
        <w:t>Les objets litigieux n’ont pas été autorisés en vertu du droit en vigueur au moment de leur réalisation et n’ont pas été régularisé par la suite. À cet égard, la référence au caractère amovible de la piscine n'y change rien, dès lors que le fait qu'une construction ou l’installation soit amovible ne suffit pas pour la dispenser de l’assujettissement au régime de l’autorisation (ATA/640/2024 du 24 août 2004) et n'est pas propre à lui seul à ôter le caractère de « construction/installation soumise à autorisation de construire » à cette piscine, ce que le recourant ne prétend au demeurant pas. La question de la prescription trentenaire ne se pose pas en l’espèce puisqu’elle ne s’applique pas, à teneur de la jurisprudence, hors de la zone à bâtir et que la parcelle en cause se situe en zone agricole. L’intérêt public au rétablissement d’une situation conforme au droit l’emporte, in casu, sur l’intérêt privé du recourant au maintien des objets en cause. En effet, il existe un intérêt public certain, de rang constitutionnel, à la préservation de la zone agricole et à la séparation entre espace bâti et non-bâti, outre l’intérêt à limiter le nombre et les dimensions des constructions en zone agricole ainsi que le respect du principe de l’égalité devant la loi. L’intérêt privé du recourant ne l’emporte manifestement pas sur les intérêts publics précités. Par ailleurs, le recourant ne peut se prévaloir du principe de la bonne foi pour s’opposer à l’ordre de remise en état. En effet, aucun élément du dossier ne permet de retenir que l’autorité intimée n’aurait créé chez le recourant, par des promesses, des informations, des assurances ou un comportement, des conditions telles qu’elle serait liée par la bonne foi s’agissant des éléments non autorisés identifiés dans la</w:t>
      </w:r>
    </w:p>
    <w:p>
      <w:r>
        <w:t>- 21/23 - A/1834/2023 décision querellée. À cet égard, le recourant fait essentiellement valoir des circonstances en lien avec l’ordre d’enlever les véhicules, ce qui est exorbitant à l’objet du litige. Par ailleurs, s’agissant de la prétendue tolérance de l’autorité intimée, il convient de retenir que le litige opposant le recourant au département dure depuis plus de dix ans en raison des nombreuses procédures judiciaires intentées en vain par le recourant contre les décisions précédentes du département exigeant de sa part le rétablissement d’une situation conforme au droit, sans que celui n’ait fait droit aux différents ordres reçus par le département et confirmés par les instances judiciaires compétentes. Partant, en arguant une prétendue violation du principe de la bonne foi, le recourant fait en réalité preuve de mauvaise foi, dès lors qu’il ne pouvait ignorer qu’en installant de nouveaux objets, malgré sa situation, un nouvel ordre de remise en état serait prononcé à son égard. À cela s'ajoute que la référence à l'arrêté du ______ 1966 selon lequel une autorisation de construire de principe aurait été délivrée le ______ 1965 n'est d'aucun secours pour le recourant, dès lors qu'il ressort manifestement du texte de l'arrêté précité que cette autorisation n'était valable que pour la construction d'une station-service, ce qui n'a manifestement jamais été le cas. On peine donc ainsi à suivre le recourant lorsqu’il allègue que cet acte départemental permettrait d'attester de la licéité des installations querellées ou aurait fait naître chez lui une quelconque assurance à ce sujet. Il n'existe manifestement aucun lien entre cette éventuelle autorisation de construire de principe visant l'édification d'une station-service et les installations réalisées sans droit, hormis le fait qu'il s'agit de la même parcelle, étant au demeurant rappelé que le recourant ne saurait aujourd'hui remettre en cause l'ordre d'enlèvement des véhicules sur sa parcelle, comme développé précédemment. Au surplus, et en tout état, le principe de la confiance n’est qu’un élément à prendre en considération et non un facteur donnant en tant que tel naissance à un droit. Partant, même si les conditions pour s’en prévaloir étaient réalisées, ce qui n’est pas le cas en l’espèce, cela ne signifierait pas pour autant qu’il faille accepter le maintien en place des objets identifiés, compte tenu des intérêts publics en jeu qui s’y opposent. Il sied de rappeler que l’ordre de démolir une construction ou un ouvrage édifié sans permis et pour lequel une autorisation ne peut être accordée n’est, en principe, pas contraire au principe de proportionnalité. Le fait que les objets en cause existeraient depuis de très nombreuses années – ce qui n’est manifestement pas le cas à teneur de l’évolution des photographies aériennes disponibles sur le site du SITG –, ne change rien au fait qu’ils ne sont pas conformes à la zone dans laquelle ils se situent, qu’ils ne bénéficient pas de la prescription trentenaire et qu’on ne conçoit pas quelle autre mesure moins incisive que la démolition ordonnée et la reconstitution du sol au niveau du terrain naturel préexistant, aurait pu être adoptée pour rétablir une situation conforme au droit. L’ordre de remise en état querellé apparaît ainsi proportionné et propre à atteindre le but visé, soit notamment obtenir le respect de la séparation du bâti et du non-bâti en zone agricole. Aucune mesure moins incisive ne permettrait en effet de préserver le principe de la séparation de</w:t>
      </w:r>
    </w:p>
    <w:p>
      <w:r>
        <w:t>- 22/23 - A/1834/2023 l’espace bâti et non bâti, étant encore rappelé que la jurisprudence accorde une protection stricte de la zone agricole. Enfin, s’agissant des deux délais d’exécution, il ne faut pas perdre de vue que le recourant a déjà été soumis à plusieurs délais pour rétablir la situation conforme au droit, au sujet de l’enlèvement des véhicules, sans qu’il ne s’exécute. À cet effet, les délais précédemment impartis étaient amplement suffisants. Le recourant ne prétend d’ailleurs pas le contraire. Concernant le délai pour procéder à l’évacuation et la suppression des nouvelles installations réalisées sans droit, le département a imparti un délai d’un peu plus de trois mois au recourant pour s’exécuter, ce qui parait être tout à fait suffisant au vu des éléments à évacuer. Au surplus, il sera rappelé au recourant que celui qui place l’autorité devant le fait accompli doit s’attendre à ce qu’elle se préoccupe davantage de rétablir une situation conforme au droit que des inconvénients pouvant en découler pour lui. La mise en conformité de sa parcelle dans le délai imparti doit ainsi primer l’intérêt privé du recourant. En conclusion, l’ordre de remise en conformité au droit respecte le principe de proportionnalité et remplit à l’évidence les conditions posées par la jurisprudence. Il doit ainsi être confirmé, le département n’ayant commis aucun excès ou abus de son pouvoir d’appréciation.</w:t>
      </w:r>
    </w:p>
    <w:p>
      <w:r>
        <w:rPr>
          <w:b/>
        </w:rPr>
        <w:t>E. 36</w:t>
      </w:r>
    </w:p>
    <w:p>
      <w:r>
        <w:t>Mal fondé, le recours sera rejeté.</w:t>
      </w:r>
    </w:p>
    <w:p>
      <w:r>
        <w:rPr>
          <w:b/>
        </w:rPr>
        <w:t>E. 37</w:t>
      </w:r>
    </w:p>
    <w:p>
      <w:r>
        <w:t>En application des art. 87 al. 1 LPA et 1 et 2 du règlement sur les frais, émoluments et indemnités en procédure administrative du 30 juillet 1986 (RFPA - E 5 10.03), le recourant, qui succombe, est condamné au paiement d’un émolument s’élevant à CHF 1’400.- ; il est partiellement couvert par l’avance de frais versée à la suite du dépôt du recours. Vu l’issue du litige, aucune indemnité de procédure ne sera allouée (art. 87 al. 2 LPA).</w:t>
      </w:r>
    </w:p>
    <w:p>
      <w:r>
        <w:t>- 23/23 - A/1834/2023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