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JTAPI/42/2022 vom 19. Januar 2022</w:t>
      </w:r>
    </w:p>
    <w:p>
      <w:r>
        <w:t>GE Cour de justice, 2022-01-19, FR</w:t>
      </w:r>
    </w:p>
    <w:p>
      <w:r>
        <w:rPr>
          <w:b/>
        </w:rPr>
        <w:t xml:space="preserve">Quelle: </w:t>
      </w:r>
      <w:r>
        <w:t>https://mcp.opencaselaw.ch/entscheid/ge_gerichte_JTAPI_42_2022</w:t>
      </w:r>
    </w:p>
    <w:p>
      <w:r>
        <w:t>FR: GE_GERICHTE JTAPI/42/2022 du 19 janvier 2022</w:t>
      </w:r>
    </w:p>
    <w:p>
      <w:r>
        <w:t>IT: GE_GERICHTE JTAPI/42/2022 del 19 gennaio 2022</w:t>
      </w:r>
    </w:p>
    <w:p>
      <w:pPr>
        <w:pStyle w:val="Heading2"/>
      </w:pPr>
      <w:r>
        <w:t>Erwägungen</w:t>
      </w:r>
    </w:p>
    <w:p>
      <w:r>
        <w:rPr>
          <w:b/>
        </w:rPr>
        <w:t>E. 7</w:t>
      </w:r>
    </w:p>
    <w:p>
      <w:r>
        <w:t>L’ensemble des autres préavis récoltés était favorable avec ou sans conditions.</w:t>
      </w:r>
    </w:p>
    <w:p>
      <w:r>
        <w:rPr>
          <w:b/>
        </w:rPr>
        <w:t>E. 7.24</w:t>
      </w:r>
    </w:p>
    <w:p>
      <w:r>
        <w:t>m2 (soit 28.9 %) au total (SBPu + SA).</w:t>
      </w:r>
    </w:p>
    <w:p>
      <w:r>
        <w:t>- 22/25 - A/155/2021 Les limites fixées par l’art. 42 al. 3 let. a et b OAT sont donc respectées. Le grief sera rejeté.</w:t>
      </w:r>
    </w:p>
    <w:p>
      <w:r>
        <w:rPr>
          <w:b/>
        </w:rPr>
        <w:t>E. 8</w:t>
      </w:r>
    </w:p>
    <w:p>
      <w:r>
        <w:t>Parallèlement, le 6 mai 2020, les propriétaires ont déposé une demande d’autorisation pour la démolition du pavillon existant (M 7______).</w:t>
      </w:r>
    </w:p>
    <w:p>
      <w:r>
        <w:rPr>
          <w:b/>
        </w:rPr>
        <w:t>E. 8.04</w:t>
      </w:r>
    </w:p>
    <w:p>
      <w:r>
        <w:t>m2 de SA. Les surfaces concernées par la demande DD 6______, quant à elles, s'élèvent à 27.2 m2 de SBPu à l'intérieur du volume existant, à 4.07 m2 de SBPu à l'extérieur du volume existant, à 0 m2 de SA à l'intérieur du volume existant et à 6.14 m2 de SA à l'extérieur du volume existant. L’agrandissement en cause représente ainsi une augmentation de 9.14 m2 de SBPu (soit 29,9 %) et</w:t>
      </w:r>
    </w:p>
    <w:p>
      <w:r>
        <w:rPr>
          <w:b/>
        </w:rPr>
        <w:t>E. 9</w:t>
      </w:r>
    </w:p>
    <w:p>
      <w:r>
        <w:t>L’ensemble des préavis récoltés lors de l’instruction de la demande de démolition, hormis celui de la commune du 15 juin 2020, était favorable avec ou sans conditions.</w:t>
      </w:r>
    </w:p>
    <w:p>
      <w:r>
        <w:rPr>
          <w:b/>
        </w:rPr>
        <w:t>E. 10</w:t>
      </w:r>
    </w:p>
    <w:p>
      <w:r>
        <w:t>Le 25 septembre 2020, les propriétaires ont signé un engagement à teneur duquel ils acceptaient que soit inscrite au registre foncier la mention suivante : « Dans le cadre de l'agrandissement du bâtiment existant à réaliser au bénéfice de l'autorisation de construire DD 6______/1 sur la parcelle n° 1______, de la commune de A______, les surfaces brutes de plancher passent de 22.1 m2 à 28.7 m2 (surface imputable) soit une augmentation de 29.9 %. Quant au total des surfaces brutes de plancher et des surfaces annexes, il passe de 30.1 m2 à 38.8 m2 (surface totale imputable) soit une augmentation de 28.9 % ».</w:t>
      </w:r>
    </w:p>
    <w:p>
      <w:r>
        <w:rPr>
          <w:b/>
        </w:rPr>
        <w:t>E. 11</w:t>
      </w:r>
    </w:p>
    <w:p>
      <w:r>
        <w:t>Par décisions du 25 novembre 2020, publiées dans la Feuille d'avis officielle de la République et canton de Genève (ci-après : FAO) du même jour, le département a délivré l’autorisation de construire DD 6______ et l’autorisation de démolir M 7______.</w:t>
      </w:r>
    </w:p>
    <w:p>
      <w:r>
        <w:rPr>
          <w:b/>
        </w:rPr>
        <w:t>E. 12</w:t>
      </w:r>
    </w:p>
    <w:p>
      <w:r>
        <w:t>Le même jour, le département a écrit à la commune pour l’informer de la délivrance des autorisations, lui exposant les raisons pour lesquelles ses préavis défavorables avaient été écartés.</w:t>
      </w:r>
    </w:p>
    <w:p>
      <w:r>
        <w:rPr>
          <w:b/>
        </w:rPr>
        <w:t>E. 13</w:t>
      </w:r>
    </w:p>
    <w:p>
      <w:r>
        <w:t>Par acte déposé par porteur le 11 janvier 2021 au greffe du Tribunal administratif de première instance (ci-après : le tribunal), la commune, sous la plume de son conseil, a interjeté recours contre l’autorisation de construire DD 6______, concluant à son annulation, sous suite de frais et dépens. En tant que commune du lieu de situation, ayant en outre pris part à la procédure d’autorisation et étant directement et personnellement touchée par la décision querellée dans la mesure où elle concernait une portion de son territoire, elle disposait d’un intérêt digne de protection à agir et avait donc la qualité pour recourir.</w:t>
      </w:r>
    </w:p>
    <w:p>
      <w:r>
        <w:t>- 5/25 - A/155/2021 Sise en zone agricole, la construction n’était pas conforme à l’affectation de la zone. Le projet, qui visait la reconstruction totale du pavillon en un chalet moderne tout confort, ne respectait pas l’identité de la construction, en violation des art. 24c LAT et 42 OAT. Les travaux autorisés avaient en effet pour résultat de transformer un bâtiment habitable de manière temporaire, très basique et sans chauffage, en un bâtiment habitable de façon permanente. Les aménagements prévus, soit un raccordement aux nouveaux réseau électrique et séparatif, un assainissement énergétique et un agrandissement, prétendument réalisé afin de permettre une habitabilité selon les standards minimaux actuels, ainsi que l’ajout d’un chauffage, modifiaient sans aucun doute et de manière importante l’utilisation qui pourrait être faite du pavillon. Le libellé de l’autorisation ne permettait pas de garantir que l’art. 42 al. 3 let. c OAT serait respecté. La reconstruction totale et l’agrandissement du pavillon, réalisés intégralement selon les techniques de construction actuelles, visaient en outre une amélioration flagrante de son confort et de ses conditions d’habitabilité, de sorte qu’il ne pouvait pas être exclu que la construction serait utilisée de manière permanente, même si telle n’était pas l’intention actuelle des propriétaires. Il était également erroné d’affirmer que de par sa taille, la construction prévue ne pouvait être utilisée à l’année Le pavillon passerait d’une SBP de 22.13 m2 à 31.27 m2, soit une surface supérieure à celle de 26 m2 pour un logement de deux pièces au sens du règlement d'exécution de la loi générale sur le logement et la protection des locataires du 24 août 1992 (RGL - I 4 05.01). Les autres éléments de l’équipement prévu, tels que l’installation d’une PAC, allaient dans le même sens. Enfin, les modifications requises par le projet allaient à l’encontre du principe constitutionnel de séparation entre les parties constructibles et non constructibles du territoire, étant relevé que les transformations demandées n’étaient pas nécessaires à la conservation du pavillon. Elle a produit notamment le plan visé ne varietur de 1945 et des photographies (intérieures et extérieures) du pavillon.</w:t>
      </w:r>
    </w:p>
    <w:p>
      <w:r>
        <w:rPr>
          <w:b/>
        </w:rPr>
        <w:t>E. 14</w:t>
      </w:r>
    </w:p>
    <w:p>
      <w:r>
        <w:t>Dans leurs observations du 22 mars 2021, les propriétaires (ci-après : les intimés), sous la plume de leur conseil, ont conclu, principalement, à l’irrecevabilité du recours, subsidiairement à son rejet, et à la confirmation de l’autorisation DD 6______, plus subsidiairement à ce qu’il soit pris acte de leur engagement de renoncer à l’installation d’une installation fixe de chauffage et, cela fait et à cette condition, à la confirmation de l’autorisation DD 6______, sous suite de frais et dépens. Préalablement, ils sollicitaient l’organisation d’un transport sur place. La commune n’avait aucun intérêt à l’annulation de l’autorisation de construire querellée. En effet, le plan directeur de la commune (ci-après : PDCom) prévoyait</w:t>
      </w:r>
    </w:p>
    <w:p>
      <w:r>
        <w:t>- 6/25 - A/155/2021 que le hameau du E______ était un secteur destiné à être densifié. Par ailleurs, ce hameau avait très récemment fait l’objet d’importants travaux d’aménagement par la commune, ayant notamment portés sur la construction d’un système public d’assainissement des eaux en séparatif. Au total, plus de CHF 6 millions avaient été investis par la commune, conférant ainsi au hameau un caractère moderne et résidentiel. La commune avait également récemment financé la mise en souterrain de l’électricité du hameau, incluant le raccordement du pavillon, de même que son raccordement au nouveau réseau de canalisations, leur permettant ainsi elle-même de bénéficier d’équipements modernes. Le recours de la commune était constitutif d’un abus de droit au sens de l’art. 2 al. 2 du Code civil suisse du 10 décembre 1907 (CC - RS 210). En effet, Monsieur F______, maire de la commune, était propriétaire de la parcelle voisine, sa villa étant séparée du pavillon d’une quinzaine de mètres seulement. M. F______ s’était permis d’accoster leur architecte lors d’une visite sur place de cette dernière, lui indiquant que les travaux ne pourraient pas être réalisés car le chalet était situé en zone agricole. Cette intervention démontrait que M. F______, en sa qualité de voisin, était opposé à la reconstruction du pavillon. En outre, il était intervenu lors de la séance du Conseil municipal de la commune du 20 janvier 2020 pour évoquer le projet querellé, alors même qu’il avait un intérêt personnel direct évident à l’annulation de l’autorisation de construire litigieuse, en violation de l’art. 23 de la loi sur l'administration des communes du 13 avril 1984 (LAC - B 6 05). Il avait également reçu Me François BELLANGER, conseil de la commune, à la mairie, en qualité d’adjoint au maire, pour discuter du projet querellé. Il apparaissait ainsi que M. F______, en tant que voisin de la parcelle, entendait, à titre personnel faire annuler l’autorisation de construire et avait, à cet effet, usé de ses prérogatives de maire pour que la commune recoure, bien qu’elle n’ait aucun intérêt propre à faire valoir. Le pavillon actuel bénéficiait de la situation acquise et les dispositions relatives à l’agrandissement autorisé étaient respectées. L’emplacement du nouveau pavillon était identique à celui de l’actuel. Au surplus, ils n’avaient pas l’intention d’habiter le pavillon de manière permanente, dont l’utilisation serait identique à l’utilisation actuelle, soit temporaire, durant les week-ends. Le pavillon actuel avait été autorisé sur la base du plan d’aménagement n° 8______ et de son règlement du 16 mars 1945. Selon l’art. 2 dudit règlement, « le quartier est destiné à la résidence exclusivement. Les bâtiments à destination d’habitation seront des pavillons dits de week-end d’un rez-de-chaussée seulement (…) ». L’art. 3 du règlement parlait de « villas ». Aucune limitation de l’utilisation des villas le week-end ou une certaine période de l’année n’était prévue. Le terme « pavillon de week-end » définissait ainsi le type de construction et non l’usage qui pouvait en être fait. Il en découlait que, juridiquement, le pavillon était habitable à l’année dès l’origine. Tel était également le cas d’un</w:t>
      </w:r>
    </w:p>
    <w:p>
      <w:r>
        <w:t>- 7/25 - A/155/2021 point de vue pratique, puisque le pavillon était raccordé au gaz et, à tout le moins depuis 1962, à l’électricité. En outre, le pavillon avait été régulièrement chauffé au moyen de radiateurs électriques portatifs et il y avait l’eau courante et une fosse septique pour les eaux usées. Le raccordement du nouveau pavillon aux nouveaux réseau électrique et de canalisations en séparatif réalisés sur le chemin de E______, outre le fait que ces nouvelles infrastructures avaient été imposées par la commune elle-même, ne modifiaient pas la situation d’un point de vue de l’utilisation qui pouvait en être faite. Ces nouvelles infrastructures répondaient de plus à des objectifs de protection de l’environnement au sens large qui devaient être pris en compte dans la pesée des intérêts. L’identité invoquée par la commune n’interdisait pas une certaine adaptation à l’évolution des besoins. En l’occurrence, ils avaient voulu profiter des travaux conséquents qui devaient obligatoirement être conduits afin de raccorder le pavillon aux réseaux électrique et des canalisations pour assainir énergétiquement la construction et répondre ainsi aux standards minimaux actuels. La mise en place d’un système de chauffage moderne et faisant appel à l’énergie renouvelable (PAC) ne représentait pas une modification importante ayant un impact sur l’utilisation du pavillon. En effet, le pavillon était déjà raccordé à l’électricité et au gaz au 1er juillet 1972 et des radiateurs électriques portatifs avaient régulièrement été utilisés pour permettre l’utilisation de celui-ci pendant les week-ends hivernaux. La reconstruction prévue, qui impliquait nécessairement une amélioration du confort - faute de quoi aucune reconstruction ne serait possible -, ne modifierait pas la destination du pavillon qui continuerait à n’être utilisé que pendant les week-ends. Enfin, contrairement à ce que prétendait la commune, la SBP du pavillon passerait de 22.13 m2 à 27.2 m2 (et non de 22.13 m2 à 31.27 m2). L’augmentation de la surface habitable intérieure n’était ainsi que de 5 m2. Elle était nulle si l’on tenait compte du réduit et de l’abri actuels. En tout état, la surface du pavillon projeté demeurait nettement insuffisante pour y vivre à l’année. Vivant chacun dans des logements spacieux avec leur famille, ils n’avaient à l’évidence aucune intention d’y vivre. Le projet de reconstruction était minimaliste. Il n’apportait pas d’autre confort que celui qui découlait strictement d’une reconstruction à l’identique. La CA avait qualifié l’impact du projet de « mineur », considérant que l’identité du pavillon serait préservée, étant en outre relevé qu’il n’y aurait aucun sens à reconstruire un pavillon mal isolé et non raccordé aux conduites mises gracieusement à</w:t>
      </w:r>
    </w:p>
    <w:p>
      <w:r>
        <w:t>- 8/25 - A/155/2021 disposition par la commune, ni à reconduire un système de chauffage électrique artisanal. Si par impossible, le tribunal devait considérer qu’en raison de l’installation de la PAC, l’autorisation de construire dérogatoire devait être annulée, ils s’engageaient à renoncer à cette installation. Ils ont notamment produit les procès-verbaux du Conseil municipal des 10 septembre 2019, 11 novembre 2019 et 20 janvier 2020, un courrier de l’OCEau du 14 août 2019 les informant de la construction d’un système public d’assainissement des eaux en séparatif pour desservir le hameau de E______ et de leur obligation d’effectuer les travaux de raccordements nécessaires de leur propriété, le plan d’aménagement n° 8______ et son règlement de quartier du</w:t>
      </w:r>
    </w:p>
    <w:p>
      <w:r>
        <w:rPr>
          <w:b/>
        </w:rPr>
        <w:t>E. 16</w:t>
      </w:r>
    </w:p>
    <w:p>
      <w:r>
        <w:t>Le 18 mai 2021, la commune a dupliqué.</w:t>
      </w:r>
    </w:p>
    <w:p>
      <w:r>
        <w:t>- 10/25 - A/155/2021 Contrairement à ce que prétendaient les intimés, il n’y avait aucun projet de densification du hameau de E______. Bien au contraire, le Plan directeur cantonal 2030 (PDCn 2030), approuvé par le Conseil fédéral le 29 avril 2015, ne prévoyait aucun changement de la zone agricole dans ce secteur. Le fait que la commune ait effectué des travaux nécessaires pour les canalisations ou l’électricité dans cette zone ne modifiait pas cet état du droit. Il n’y avait par ailleurs aucun abus de droit. Le recours contre l’autorisation querellée était traité exclusivement par les deux adjointes, Madame G______ et Madame Delphine H______, sans l’intervention du maire et en pleine transparence au niveau de l’Exécutif comme du Délibératif. Au fond, les limites d’agrandissement prévues par l’art. 42 al. 3 OAT n’étaient pas respectées, dans la mesure où une surface de combles de 2.97 m2 avait à tort été prise en compte dans le calcul. Selon son propre calcul, l’agrandissement des SBPu et des SA serait de 10.2 m2, correspondant à une augmentation de 37.58%. Le plan n° 8______ était un plan de « morcellement » et seule l’implantation d’une toute petite construction y était prévue. En outre, le terme « villa » utilisé à l’art. 3 du règlement désignait des petits chalets de week-end, comme illustrés sur ledit plan, et non une villa au sens actuel du terme. À l’origine, le pavillon n’avait ni électricité ni chauffage intérieur. À part un WC, branché sur la fosse septique, il n’y avait pas non plus de salle de bain, ni même de douche. Il était donc impossible de vivre dans ce pavillon autrement que les week-ends à la bonne saison et dans des conditions sanitaires très réduites. Le raccordement à l’électricité en 1962 ne changeait pas la nature du pavillon qui ne permettait pas une utilisation à l’année, voire même la plupart des week-ends d’hiver, en l’absence de toute isolation. Enfin, une éventuelle utilisation l’hiver depuis 1962 ne pouvait être prise en considération au regard de l’art. 24c LAT dès lors qu’il ne s’agissait pas d’une utilisation autorisée. L’absence de chauffage en 1945 était une caractéristique essentielle de la construction et c’était par rapport à cette donnée initiale que devait être apprécié le changement d’identité. Pour le surplus, elle a persisté dans les termes de son recours. Elle a notamment produit : - l’arrêté du Conseil d’État du 15 mai 2013 approuvant le PDCom de la commune et à teneur duquel, s’agissant de la fiche de coordination C1 relative à l’extension du hameau de E______, « la proposition de délimitation d’une nouvelle zone à bâtir, en prolongement des zones 4BP existantes pour les noyaux historiques de E______, n’est pas validée au stade actuel » ;</w:t>
      </w:r>
    </w:p>
    <w:p>
      <w:r>
        <w:t>- 11/25 - A/155/2021 - un courrier du Conseiller d’État en charge du DT du 17 mai 2016, ainsi qu’un courrier de l’office de l’urbanisme du 10 janvier 2017 confirmant notamment que le secteur du hameau de E______ ne faisait pas partie des périmètres identifiés dans la fiche A06 du PDC 2030, qu’il comprenait des parcelles agricoles inscrites à l’inventaire des surfaces d’assolement et que « compte tenu des réserves formulées par la Confédération pour les projets en emprise sur la zone agricole identifiés dans le PDCn 2030, il ne nous semble pas opportun de poursuivre les démarches sur ce dossier ».</w:t>
      </w:r>
    </w:p>
    <w:p>
      <w:r>
        <w:rPr>
          <w:b/>
        </w:rPr>
        <w:t>E. 17</w:t>
      </w:r>
    </w:p>
    <w:p>
      <w:r>
        <w:t>Le 11 juin 2021, le département a dupliqué, persistant dans sa position. Une surface de combles d’un total de 2.97 m2 était bien existante sur les plans produits et cette surface avait ainsi à juste titre été prise en compte au titre de SA. La notion de pavillon de week-end, comme son nom l’indiquait, permettait une utilisation occasionnelle, le week-end, du chalet, mais n’interdisait pas son utilisation l’hiver. L’ajout d’un chauffage fixe destiné à rendre utilisable le pavillon quelle que soit la température extérieure, et donc également en l’hiver, ne signifiait aucunement qu’il ne l’était pas déjà avant. Les améliorations du confort existant avaient pour but uniquement d’adapter le pavillon aux standards actuels. La construction avait été reliée à l’électricité avant la modification du droit en 1972 et l’absence de raccordement avant 1962 ne signifiait pas que celle-ci ne pouvait pas être chauffée par un autre moyen (bonbonne de gaz par exemple). Quoi qu’il en soit, même s’il avait dû être reconnu que le pavillon de base ne disposait pas du chauffage, le fait que la construction puisse être chauffée, y compris en hiver, n’était pas de nature à en modifier l’utilisation telle qu’autorisée et donc l’identité de la construction.</w:t>
      </w:r>
    </w:p>
    <w:p>
      <w:r>
        <w:rPr>
          <w:b/>
        </w:rPr>
        <w:t>E. 18</w:t>
      </w:r>
    </w:p>
    <w:p>
      <w:r>
        <w:t>Le 21 juin 2021, les intimés ont dupliqué, persistant également dans leur position. Leurs arguments seront repris dans la mesure utile dans la partie en droit. Ils ont notamment produit trois préavis favorables émis par la commune entre 2017 et 2020 concernant des projets d’agrandissement d’habitation sis en zone agricole sur son territoire (DD 113'621, DD 111'985 et DD 110'873).</w:t>
      </w:r>
    </w:p>
    <w:p>
      <w:r>
        <w:rPr>
          <w:b/>
        </w:rPr>
        <w:t>E. 19</w:t>
      </w:r>
    </w:p>
    <w:p>
      <w:r>
        <w:t>Le 13 juillet 2021, la commune a déposé des observations et fourni de nouvelles pièces. Elle relevait notamment que M. D______ avait vendu sa part de copropriété à Madame B______ le 3 mai 2021.</w:t>
      </w:r>
    </w:p>
    <w:p>
      <w:r>
        <w:rPr>
          <w:b/>
        </w:rPr>
        <w:t>E. 20</w:t>
      </w:r>
    </w:p>
    <w:p>
      <w:r>
        <w:t>Le 3 septembre 2021, les intimés ont également déposé des observations et remis une estimation de leur bien immobilier réalisée en janvier 2020 par feu Monsieur</w:t>
      </w:r>
    </w:p>
    <w:p>
      <w:r>
        <w:t>- 12/25 - A/155/2021 I______, ainsi qu’une proposition d’honoraires de leur architecte du 19 novembre 2018 estimant le coût des travaux à CHF 96'000.-. Ils ont confirmé que M. D______ avait vendu sa part de la parcelle à Mme B______ le 3 mai 2021 et s’en rapportaient à justice quant à une substitution de partie entre eux, la qualité pour défendre devant désormais être reconnue à cette dernière.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62 à 65 de la loi sur la procédure administrative du 12 septembre 1985 (LPA - E 5 10). 3.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Selon l'art. 145 al. 2 LCI, la commune du lieu de situation peut recourir contre la délivrance d'une autorisation. 4. En l’occurrence, la qualité pour recourir de la commune doit être admise sur la base de l’art. 145 al. 2 LCI, la parcelle concernée se trouvant sur son territoire. 5. Selon l'art. 7 LPA, ont qualité de partie les personnes dont les droits ou les obligations pourraient être touchés par la décision à prendre, ainsi que les autres personnes, organisations ou autorités qui disposent d'un moyen de droit contre cette décision. 6. Selon la doctrine, la qualité de partie en procédure contentieuse est indissociable de la qualité pour recourir. Les parties "automatiques" sont les destinataires de la décision ou du jugement faisant l'objet du recours. Elles seront déterminées en fonction de la décision ou du jugement en cause (François BELLANGER, La qualité de partie à la procédure administrative in : Thierry TANQUEREL/François BELLANGER, Les tiers dans la procédure administrative, 2004, p. 41).</w:t>
      </w:r>
    </w:p>
    <w:p>
      <w:r>
        <w:t>- 13/25 - A/155/2021 7. Bien qu'elle ne soit pas expressément prévue par la LPA, la substitution de parties est pratiquée en procédure administrative (ATA/743/2014 du 23 septembre 2014 ; SJ 1994 p. 535 et les références citées). Lorsque la succession dans les droits et obligations d'une partie a lieu à titre universel, elle entraîne de plein droit, en vertu du droit fédéral, un changement de parties sans l'accord des autres parties à la procédure (succession à cause de mort, faillite, reprise des actifs et passifs ou fusion d'entreprises). Encore faut-il que la procédure ne porte pas sur des droits intransmissibles (ATA/1974/2017 du 12 septembre 2017 ; ATA/433/2016 du</w:t>
      </w:r>
    </w:p>
    <w:p>
      <w:r>
        <w:rPr>
          <w:b/>
        </w:rPr>
        <w:t>E. 24</w:t>
      </w:r>
    </w:p>
    <w:p>
      <w:r>
        <w:t>mai 2016 ; ATA/743/2014 précité ; Benoît BOVAY, op. cit., p. 182 s.). 8. En l’espèce, selon la publication parue dans la FAO le 14 mai 2021 (consultable sur https://fao.ge.ch), Mme B______ a acquis la part de copropriété de M. D______ sur la parcelle n° 1______ de la commune de A______ par acte notarié inscrit au Registre foncier le 3 mai 2021. Mme B______ s’est ainsi de plein droit substituée à M. D______. Ce dernier sera par conséquent mis hors de cause. 9.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arrêt du Tribunal fédéral 1C_107/2016 du 28 juillet 2016 consid. 9 ; Thierry TANQUEREL, Manuel de droit administratif, 2011, n. 515 p. 171). 10.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w:t>
      </w:r>
    </w:p>
    <w:p>
      <w:r>
        <w:rPr>
          <w:b/>
        </w:rPr>
        <w:t>E. 27</w:t>
      </w:r>
    </w:p>
    <w:p>
      <w:r>
        <w:t>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ATA/386/2018 du 24 avril 2018 consid. 1b ; ATA/117/2016 du 9 février 2016 consid. 2 ; ATA/723/2015 du 14 juillet 2015 consid. 4a). Aussi peut-il admettre le recours</w:t>
      </w:r>
    </w:p>
    <w:p>
      <w:r>
        <w:t>- 14/25 - A/155/2021 pour d'autres motifs que ceux invoqués par le recourant, comme il peut le rejeter en opérant une substitution de motifs (cf. ATF 135 III 397 consid. 1.4 ; arrêts du Tribunal fédéral 2C_540/2013 du 5 décembre 2013 consid. 3 ; 2C_349/2012 du 18 mars 2013 consid. 2.1 ; arrêt du Tribunal administratif fédéral F-1734/2019 du 23 mars 2020 consid. 2). 11. Les intimés considèrent que le recours de la commune est constitutif d’un abus de droit. 12. Selon l'art. 2 al. 2 du Code civil suisse du 10 décembre 1907 (CC - RS 210), l'abus manifeste d'un droit n'est pas protégé par la loi. L'existence d'un tel abus se détermine selon les circonstances concrètes du cas, en s'inspirant des diverses catégories mises en évidence par la jurisprudence et la doctrine (ATF 129 III 493 consid. 5.1 et les arrêts cités).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 127 III 357 consid. 4c/bb ; arrêt du Tribunal fédéral 2C_974/2013du 11 novembre 2013 consid. 3). Comme le suggère, en matière civile, le libellé de l'art. 2 al. 2 CC, un abus de droit doit, pour être sanctionné, apparaître manifeste. Cela implique que l'abus de droit ne doit être admis qu'avec une grande retenue et, dans le doute, le droit formel doit être protégé (ATF 140 III 583 consid. 3.2.4 ; arrêts du Tribunal fédéral 2C_18/2015 du 23 juillet 2015 consid. 3.1 ; T. GÄCHTER, op. cit., p. 67). 13. Selon l'art. 29 al. 1 de la Constitution fédérale de la Confédération suisse du 18 avril 1999 (Cst. - RS 101), toute personne a droit, dans une procédure judiciaire ou administrative, à ce que sa cause soit traitée équitablement. Dans cette perspective, en droit genevois, l'art. 15 al. 1 LPA prévoit que les membres des autorités administratives appelés à rendre ou à préparer une décision doivent se récuser notamment s'ils ont un intérêt personnel dans l'affaire (let. a), représente une partie ou ont agi pour une partie dans la même affaire (let. c) ou s'il existe des circonstances de nature à faire suspecter leur partialité (let. d). En parallèle, l'art. 23 LAC stipule que, dans les séances du conseil municipal et des commissions, les conseillers administratifs, les maires, les adjoints et les conseillers municipaux qui, pour eux-mêmes, leurs ascendants, descendants, frères, sœurs, conjoint, partenaire enregistré, ou alliés au même degré, ont un intérêt personnel direct à l’objet soumis à la délibération ne peuvent intervenir dans la discussion ni voter. Le droit que confère ces dispositions permet notamment d’exiger la récusation des membres d’une autorité administrative dont la situation ou le comportement est de</w:t>
      </w:r>
    </w:p>
    <w:p>
      <w:r>
        <w:t>- 15/25 - A/155/2021 nature à faire naître un doute sur leur indépendance ou leur impartialité ; il tend à éviter que des circonstances extérieures à l’affaire n’influencent une décision en faveur ou au détriment de la personne concernée. Il n'impose pas la récusation seulement lorsqu'une prévention effective est établie, car une disposition interne de la part de la personne concernée ne peut guère être prouvée ; il suffit que les circonstances donnent l'apparence de la prévention et fassent redouter une activité partiale de cette dernière. Cependant, seules des circonstances constatées objectivement doivent être prises en considération, les impressions purement individuelles d’une des personnes impliquées ne présentant pas un caractère décisif (ATF 138 I 1 consid. 2.2 ; 137 I 227 consid. 2.1 ; 136 I 207 consid. 3.1 ; 134 I 20 consid. 4.2 ; 131 I 24 consid. 1.1 ; 127 I 196 consid. 2b ; arrêt du Tribunal fédéral 2P.164/2006 du 8 janvier 2007 consid. 3.1 ; ATA/153/2013 du 5 mars 2013). 14. En l’espèce, le tribunal constate que le préavis défavorable de la commune du 22 janvier 2020 est signé par l’ancien maire de A______, Monsieur J______, auquel M. F______ a succédé le 1er juin 2020. S’agissant de l’intervention de M. F______ lors de la séance du conseil municipal de la commune du 20 janvier 2020, elle s’est limitée, en rapport avec le projet litigieux, à une « communication de l’Exécutif ». Enfin, la commune a confirmé que le recours contre l’autorisation querellée était traité exclusivement par les deux adjointes. Dans ces conditions, le grief d’abus de droit sera écarté. 15. Les intimés sollicitent la tenue d’un transport sur place. Sans y conclure formellement, ils sollicitent également l’audition de témoins, tout comme la recourante. 16. 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t>- 16/25 - A/155/2021 Il n'implique en général pas le droit de s'exprimer oralement (ATF 125 I 209 consid. 9b et l'arrêt cité ; arrêt du Tribunal fédéral 5A_378/2014 du 30 juin 2014 consid. 3.1.1 ; cf. aussi art. 41 in fine LPA), ni celui d'obtenir l'audition de témoins (ATF 130 II 425 consid. 2.1 ; arrêt du Tribunal fédéral 5A_378/2014 du</w:t>
      </w:r>
    </w:p>
    <w:p>
      <w:r>
        <w:rPr>
          <w:b/>
        </w:rPr>
        <w:t>E. 30</w:t>
      </w:r>
    </w:p>
    <w:p>
      <w:r>
        <w:t>En l’espèce, il n’est pas contesté que la construction du pavillon a été autorisée en 1945 et que celui-ci bénéficie dès lors de la garantie de la situation acquise (art. 24c al. 1 LAT). Il peut donc faire l’objet d’un agrandissement et/ou d’une démolition-reconstruction au sens de l’art. 24c al. 2 LAT. Des modifications de l’aspect extérieur de la construction sont également possibles dès lors qu’un assainissement énergétique est prévu (art. 24c al. 4 LAT) par l’isolation du pavillon et l’installation d’une PAC.</w:t>
      </w:r>
    </w:p>
    <w:p>
      <w:r>
        <w:rPr>
          <w:b/>
        </w:rPr>
        <w:t>E. 31</w:t>
      </w:r>
    </w:p>
    <w:p>
      <w:r>
        <w:t>Dans un premier grief, la recourante estime que les limites de l’art. 42 al. 3 let. a et b LAT ne sont pas respectées. Selon elle, le calcul opéré par l’OAC serait faux, du fait de la prise en compte d’une surface de combles inexistante.</w:t>
      </w:r>
    </w:p>
    <w:p>
      <w:r>
        <w:rPr>
          <w:b/>
        </w:rPr>
        <w:t>E. 32</w:t>
      </w:r>
    </w:p>
    <w:p>
      <w:r>
        <w:t>La SBPu se compose de la somme de toutes les surfaces d'étages en dessous et en dessus du sol, y compris les surfaces des murs et des parois dans leur section horizontale. N'entrent toutefois pas en considération : toutes les surfaces non utilisées ou non utilisables pour l'habitation ou le travail, tels que, par exemple, les caves, les greniers, les séchoirs et les buanderies des logements ; les locaux pour le chauffage, les soutes à charbon ou à mazout ; les locaux pour la machinerie des ascenseurs, des installations de ventilation et de climatisation ; les locaux communs de bricolage dans les immeubles à logements multiples ; les garages pour véhicules à moteur, vélos et voitures d'enfants, non utilisés pour le travail ; les couloirs, escaliers et ascenseurs desservant exclusivement des surfaces non directement utiles ; les portiques d'entrée ouverts ; les terrasses d'attique, couvertes et ouvertes ; les balcons et les loggias ouverts, pour autant qu'ils ne servent pas de coursives (cf. arrêt du Tribunal fédéral 1C_429/2014 du 17 juillet 2015 consid. 3.3 et la référence ; dans cet arrêt, le Tribunal fédéral a considéré qu'une surface située dans les combles d'un bâtiment qui se trouvait dépourvue de lumière naturelle, donc non utilisable pour l'habitation ou le travail, devait être considérée comme un galetas et, dès lors, ne pas être comptabilisée dans la SBPu du bâtiment existant ; cf. consid. 3.5).</w:t>
      </w:r>
    </w:p>
    <w:p>
      <w:r>
        <w:rPr>
          <w:b/>
        </w:rPr>
        <w:t>E. 33</w:t>
      </w:r>
    </w:p>
    <w:p>
      <w:r>
        <w:t>En l’occurrence, les calculs opérés par l’OAC, sur la base desquels le département a forgé sa décision, n’apparaissent pas critiquables. Selon le plan de 1945, le pavillon actuel compte bien une surface de combles, vu l’existence d’un plancher entre le rez et la toiture, laquelle a donc à juste titre été prise en compte à titre de SA dans les calculs des surfaces selon l’art. 42 OAT. Selon lesdits calculs, le bâtiment totalisait, au 1er juillet 1972, 22.1 m2 de SPBu et</w:t>
      </w:r>
    </w:p>
    <w:p>
      <w:r>
        <w:rPr>
          <w:b/>
        </w:rPr>
        <w:t>E. 34</w:t>
      </w:r>
    </w:p>
    <w:p>
      <w:r>
        <w:t>Dans un second grief, la recourante estiment que les travaux autorisés engendrent une modification importante de l’utilisation du pavillon, de sorte que le projet ne respecterait pas l’identité de la construction.</w:t>
      </w:r>
    </w:p>
    <w:p>
      <w:r>
        <w:rPr>
          <w:b/>
        </w:rPr>
        <w:t>E. 35</w:t>
      </w:r>
    </w:p>
    <w:p>
      <w:r>
        <w:t>En l’espèce, l’autorisation de construire DD 6______ vise la reconstruction d’un pavillon de week-end. Elle prévoit un léger agrandissement (dans les limites de la loi comme vu précédemment), un assainissement énergétique (isolation et pose d’une PAC) et un raccordement aux nouveaux réseaux électrique et séparatif installés récemment par la commune. Il s’agit d’une reconstruction au sens des art. 42 al. 4 OAT. Il ressort des pièces du dossier et notamment des plans de 1945 et des photographies produites que le pavillon actuel est une construction en bois, de type chalet, avec une toiture à deux pans ; il est en parfait état. Il comprend une pièce à vivre (servant de salon et de chambre à coucher), une cuisine-laboratoire et un WC. Il dispose de l’eau courante (avec fosse septique) et est raccordé au gaz et, à tout le moins depuis 1962, à l’électricité, permettant ainsi son chauffage en hiver, étant rappelé que c’est l’état de la construction au 1er juillet 1972 qui est ici déterminant. Le pavillon, bien que rustique, est ainsi déjà doté des équipements principaux permettant son utilisation comme résidence secondaire le weekend à tout le moins. Du point de vue de son affectation, il convient de relever que selon l’autorisation de construire DD 5______, le chalet a été autorisé comme « pavillon de week- end », conformément au règlement de quartier du plan d’aménagement n° 8______ du 16 mars 1945, applicable à la parcelle. Ce règlement, qui a pour but « d’assurer un développement harmonieux du quartier », précise à son art. 2 que le « quartier » (issu du morcellement de l’ancienne parcelle n° 1'303) est destiné à la résidence exclusivement et les bâtiments, définis comme des « pavillons dits de week-end », à l’habitation. Le règlement prévoit également des dispositions de police des constructions précisant les caractéristiques architecturales des constructions admises. Comme son nom l’indique, la notion de pavillon « de week-end » autorise une villégiature hebdomadaire dans ce bâtiment, le week-end. Aucune limitation de l’utilisation du pavillon à une certaine période de l’année, en particulier durant la belle saison uniquement, n’est prévue, que ce soit dans le règlement de quartier ou l’autorisation de 1945. Son utilisation également pendant les week-ends hivernaux est donc tout à fait licite. Partant, et contrairement à ce que soutient la recourante, l’ajout d’un chauffage fixe, en remplacement des chauffages électriques actuels, n’a pas pour conséquence de modifier de manière importante l’usage pouvant être</w:t>
      </w:r>
    </w:p>
    <w:p>
      <w:r>
        <w:t>- 23/25 - A/155/2021 fait du pavillon, à destination d’habitation dès l’origine. Il en va de même de son raccordement aux nouveaux réseaux séparatif et électrique, le pavillon étant déjà relié à l’eau courante et à l’électricité, étant rappelé que ces travaux de raccordement ont été imposés aux propriétaires dans le cadre des travaux menés par la commune pour l’équipement du hameau. Les travaux envisagés, qui ne modifient pas l’affectation du bâtiment, n’entraînent ainsi pas une modification importante de son utilisation, la nouvelle construction demeurant in casu un pavillon de week-end. C’est le lieu de souligner que le libellé de l’autorisation querellée indique expressément qu’il s’agit de la reconstruction d’un « pavillon de week-end », ce qui interdit clairement toute autre affectation. Les propriétaires ont par ailleurs confirmé que le pavillon n’était pas destiné à une utilisation permanente, mais uniquement à une utilisation occasionnelle, durant les fin de semaine, comme il l’avait toujours été jusqu’à présent, ce qui n’est pas contesté en l’espèce, étant relevé, à l’instar de l’autorité intimée, que la recourante a la possibilité de vérifier au sein de son administration si la construction est utilisée comme résidence permanente, et donc, a fortiori, de contrôler le respect de l’autorisation délivrée. Au demeurant, les travaux autorisés, s’ils permettent effectivement d’améliorer le confort de l’habitation, ce qui n’est pas en soi contraire à l’art. 24c LAT s’agissant d’une reconstruction, visent avant tout à adapter la construction aux standards actuels et à procéder à un assainissement énergétique, comme le permet cette disposition. L’isolation thermique du bâtiment va en plus dans le sens des préoccupations actuelles en terme d’économie d’énergie. Pour le surplus, il convient de relever que l’apparence extérieure du nouveau pavillon et son implantation sont quasiment identiques à celles de l’actuel. La CA a du reste qualifié l’impact de la construction projetée de mineur dans son préavis du 17 décembre 2019. En outre, comme vu précédemment, l’agrandissement est modeste (10.2 m2 au total), étant encore relevé que, selon les plans produits, le projet prévoit une réduction de la surface de la terrasse, et donc une diminution de l’impact de la construction sur la terre pleine. Au regard de l’ensemble des circonstances, le tribunal considère que l’identité de la construction est respectée pour l’essentiel. L’autorité intimée n’a donc abusé de son pouvoir d’appréciation en délivrant l’autorisation querellée, étant encore souligné que, mise à part la commune, toutes les instances consultées se sont déclarées favorables au projet. S’agissant des jurisprudences invoquées par la recourante, comme le relèvent à juste titre les parties intimées, elles ne sont pas directement pertinentes dans la présente cause. En effet, l’arrêt 1C_162/2019 du 25 novembre 2019 concerne un projet de changement d’affectation en vue de permettre une habitation à l’année,</w:t>
      </w:r>
    </w:p>
    <w:p>
      <w:r>
        <w:t>- 24/25 - A/155/2021 ce qui n’est pas le cas en l’espèce. Quant à l’affaire ayant donné lieu au récent arrêt du Tribunal fédéral 1C_491/2020 du 10 mai 2021, elle concerne la rénovation et l’agrandissement d’une maison de campagne, la chambre administrative de la Cour de justice (ci-après : la chambre administrative), suivi par le Tribunal fédéral, ayant jugé dans ce cas, au vu de l’ensemble des circonstances, que les travaux, qui visaient à rendre habitable à l’année la maison, ne respectaient pas l’identité de la construction. En l’occurrence, non seulement le but poursuivi par les intimés n’est pas de rendre le pavillon habitable de manière permanente, mais leur projet ne consiste pas en une transformation mais en une reconstruction, qui implique inévitablement, comme le relèvent les intimés, une amélioration du confort existant, ne serait-ce que par l’utilisation de matériaux plus performants, étant rappelé que le critère de l’identité dans le cas d’une reconstruction concerne principalement l’emplacement de la construction, condition respectée en l’occurrence.</w:t>
      </w:r>
    </w:p>
    <w:p>
      <w:r>
        <w:rPr>
          <w:b/>
        </w:rPr>
        <w:t>E. 36</w:t>
      </w:r>
    </w:p>
    <w:p>
      <w:r>
        <w:t>Les conditions de l’art. 42 OAT sont par conséquent respectées.</w:t>
      </w:r>
    </w:p>
    <w:p>
      <w:r>
        <w:rPr>
          <w:b/>
        </w:rPr>
        <w:t>E. 37</w:t>
      </w:r>
    </w:p>
    <w:p>
      <w:r>
        <w:t>Mal fondé, le recours sera rejeté et l’autorisation de construire DD 6______ confirmée.</w:t>
      </w:r>
    </w:p>
    <w:p>
      <w:r>
        <w:rPr>
          <w:b/>
        </w:rPr>
        <w:t>E. 38</w:t>
      </w:r>
    </w:p>
    <w:p>
      <w:r>
        <w:t>En application des art. 87 al. 1 LPA et 1 et 2 du règlement sur les frais, émoluments et indemnités en procédure administrative du 30 juillet 1986 (RFPA - E 5 10.03), la recourante, qui succombe, est condamnée au paiement d’un émolument s'élevant à CHF 1’200.- ; il est partiellement couvert par l’avance de frais versée à la suite du dépôt du recours. Vu l’issue du litige, une indemnité de procédure de CHF 1’500.-, à la charge de la recourante, sera allouée aux intimés (art. 87 al. 2 à 4 LPTA et 6 RFPA).</w:t>
      </w:r>
    </w:p>
    <w:p>
      <w:r>
        <w:t>- 25/25 - A/155/2021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