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JTAPI/427/2022 vom 28. April 2022</w:t>
      </w:r>
    </w:p>
    <w:p>
      <w:r>
        <w:t>GE Cour de justice, 2022-04-28, FR</w:t>
      </w:r>
    </w:p>
    <w:p>
      <w:r>
        <w:rPr>
          <w:b/>
        </w:rPr>
        <w:t xml:space="preserve">Quelle: </w:t>
      </w:r>
      <w:r>
        <w:t>https://mcp.opencaselaw.ch/entscheid/ge_gerichte_JTAPI_427_2022</w:t>
      </w:r>
    </w:p>
    <w:p>
      <w:r>
        <w:t>FR: GE_GERICHTE JTAPI/427/2022 du 28 avril 2022</w:t>
      </w:r>
    </w:p>
    <w:p>
      <w:r>
        <w:t>IT: GE_GERICHTE JTAPI/427/2022 del 28 aprile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24 avril 2022 à 15h15.</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75 al. 1 let. c LEI , afin d'assurer l'exécution d'une procédure de renvoi, l'autorité cantonale compétente peut ordonner la détention pendant la préparation de la décision sur le séjour, pour une durée de 6 mois au plus, d'un étranger qui n'est pas titulaire d'une autorisation de courte durée, de séjour ou d'établissement s'il a franchi la frontière malgré une interdiction d’entrer en Suisse et n'a pu être renvoyée immédiatement.</w:t>
      </w:r>
    </w:p>
    <w:p>
      <w:r>
        <w:rPr>
          <w:b/>
        </w:rPr>
        <w:t>E. 6</w:t>
      </w:r>
    </w:p>
    <w:p>
      <w:r>
        <w:t>Les conditions posées par l'art. 75 al. 1 let. c LEI sont en l'occurrence pleinement réunies, dès lors que M. A______, qui ne bénéficie d'aucun titre lui permettant de séjourner en Suisse, a pénétré sur le territoire - à tout le moins en septembre 2021,</w:t>
      </w:r>
    </w:p>
    <w:p>
      <w:r>
        <w:t>- 5/8 - A/1263/2022 alors qu'il faisait l'objet d'une interdiction d'entrer dans le pays, valable jusqu'en juin 2024, et que son renvoi au Kosovo ne peut pas encore être opéré à ce stade, l'acceptation des autorités de cet État s'avérant nécessaire à teneur de l'art. 6 de l'accord entre le Conseil fédéral suisse et le Gouvernement de la République du Kosovo concernant la réadmission de personnes en situation irrégulière du 3 février 2010 (RS 0.142.114.759).</w:t>
      </w:r>
    </w:p>
    <w:p>
      <w:r>
        <w:rPr>
          <w:b/>
        </w:rPr>
        <w:t>E. 7</w:t>
      </w:r>
    </w:p>
    <w:p>
      <w:r>
        <w:t>Selon le texte de l'art. 75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L'assurance de l'exécution de son refoulement répond par ailleurs à un intérêt public certain et, compte tenu du peu de cas que fait l'intéressé des décisions prises à son encontre, aucune autre mesure moins incisive que la détention ne peut être envisagée pour garantir sa présence jusqu'à l'exécution de son refoulement (cf. not. ATA/1470/2019 du 3 octobre 2019 consid. 7e ; ATA/672/2016 du 8 août 2016 consid. 7c ; ATA/949/2015 du 18 septembre 2015 consid. 8 ; ATA/846/2015 du 20 août 2015 consid. 8 ; ATA/810/2014 du 28 octobre 2014 consid. 6). M. A______ n'est pas autorisé à séjourner en Suisse, il est démuni de document d'identité et est sans ressources financières. Il ne dispose en outre pas d'un lieu de séjour à Genève, la simple évocation d'un cousin, de nationalité suisse et domicilié à Genève, susceptible de l'héberger et de pourvoir à son entretien n'y changeant rien. Dans ces conditions, il ne peut être question de remplacer la détention administrative par une mesure de substitution moins incisive, sous la forme d'une assignation territoriale, selon l'art. 74 LEI et/ou, selon l'art. 64e let. a LEI, de l'obligation de se présenter régulièrement à une autorité (cf. à cet égard arrêt du</w:t>
      </w:r>
    </w:p>
    <w:p>
      <w:r>
        <w:t>- 6/8 - A/1263/2022 Tribunal fédéral 2C_105/2016 du 8 mars 2016 consid. 5.4). Dans son principe, la détention en cause respecte par conséquent aussi le principe de la proportionnalité.</w:t>
      </w:r>
    </w:p>
    <w:p>
      <w:r>
        <w:rPr>
          <w:b/>
        </w:rPr>
        <w:t>E. 10</w:t>
      </w:r>
    </w:p>
    <w:p>
      <w:r>
        <w:t>À teneur de l'art. 75 al. 2 LEI, l'autorité compétente prend sans délai une décision quant au droit de séjour de la personne mise en détention. Cette obligation est, s'agissant de la détention en phase préparatoire, substantiellement équivalente à celle instituée par l'art. 76 al. 4 LEI (obligation de diligence et de célérité) sous l'angle de la détention en vue du renvoi, de sorte que les principes dégagés par la jurisprudence en lien avec cette disposition, dans la mesure où ils sont pertinents, doivent aussi trouver application, la violation de l'art. 75 al. 2 LEI, soit un retard non justifié dans la prise de décision de renvoi, conduisant en principe à la libération de l'étranger ; en effet, même si l'art. 75 al. 1 LEI prévoit que la détention en phase préparatoire peut durer six mois, il n'en demeure pas moins que la question de la présence en Suisse de l'étranger doit être clarifiée sans délai (cf. Gregor CHATTON/Laurent MERZ, in Minh Son NGUYEN/Cesla AMARELLE [éd.], Code annoté de droit des migrations, vol. II [Loi sur les étrangers], 2017, n. 37 p. 773 ; cf. aussi ATF 139 I 206 consid. 2.4 = RDAF 2014 I 445, p. 446 ; arrêts du Tribunal fédéral 2A.424/2006 du 27 juillet 2006 consid. 4.1 ; 2A.581/2006 du 18 octobre 2006).</w:t>
      </w:r>
    </w:p>
    <w:p>
      <w:r>
        <w:rPr>
          <w:b/>
        </w:rPr>
        <w:t>E. 11</w:t>
      </w:r>
    </w:p>
    <w:p>
      <w:r>
        <w:t>Une fois que la décision statuant sur le séjour d'un étranger détenu sur la base de l'un des motifs prévus par l'art. 75 LEI a été prise, la détention doit, le cas échéant, être convertie en détention en vue du renvoi aux conditions de l'art. 76 al. 1 let. a LEI (cf. ATF 125 II 377 consid. 2b), sans qu'il soit nécessaire de libérer l'étranger dans l'intervalle. Il faut cependant que la détention en vue du renvoi fasse l'objet d'une décision, laquelle est soumise à un contrôle judiciaire (cf. ATF 121 II 105 consid. 2a et b ; cf. aussi ATF 127 II 174 consid. 2b ; 125 II 377 consid. 2b ; arrêt du Tribunal fédéral 2C_618/2011 du 1er septembre 2011 consid. 2.1 ; ATA/671/2015 du 23 juin 2015 ; ATA/355/2014 du 14 mai 2014 ; ATA/85/2012 du 10 février 2012), étant rappelé que les différentes formes de détention peuvent être combinées pour autant que la durée totale de celle-ci ne dépasse pas la durée maximale prévue par la loi (cf. not. ATA/85/2012 du 10 février 2012 consid. 6).</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Etats Schengen prend du retard (art. 79 al. 2 let. b LEI).</w:t>
      </w:r>
    </w:p>
    <w:p>
      <w:r>
        <w:rPr>
          <w:b/>
        </w:rPr>
        <w:t>E. 13</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t>- 7/8 - A/1263/2022</w:t>
      </w:r>
    </w:p>
    <w:p>
      <w:r>
        <w:rPr>
          <w:b/>
        </w:rPr>
        <w:t>E. 14</w:t>
      </w:r>
    </w:p>
    <w:p>
      <w:r>
        <w:t>En l'espèce, l'autorité chargée du renvoi a agi avec célérité, en tant qu'elle a immédiatement procédé aux démarches en vue de la réadmission de l'intéressé par les autorités de son pays et demeurent pour l'heure dans l'attente d'une réponse de ces dernières. La durée de la détention de quatre semaines décidée par le commissaire de police respecte pour le surplus le cadre légal posé par les art. 75 al. 1 et 79 al. 1 LEI et demeure proportionnée.</w:t>
      </w:r>
    </w:p>
    <w:p>
      <w:r>
        <w:rPr>
          <w:b/>
        </w:rPr>
        <w:t>E. 15</w:t>
      </w:r>
    </w:p>
    <w:p>
      <w:r>
        <w:t>Au vu de ce qui précède, il y a lieu de confirmer l'ordre de mise en détention administrative de M. A______ pour une durée de quatre semaines.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A/1263/2022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