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JTAPI/426/2025 vom 22. April 2025</w:t>
      </w:r>
    </w:p>
    <w:p>
      <w:r>
        <w:t>GE Cour de justice, 2025-04-22, FR</w:t>
      </w:r>
    </w:p>
    <w:p>
      <w:r>
        <w:rPr>
          <w:b/>
        </w:rPr>
        <w:t xml:space="preserve">Quelle: </w:t>
      </w:r>
      <w:r>
        <w:t>https://mcp.opencaselaw.ch/entscheid/ge_gerichte_JTAPI_426_2025</w:t>
      </w:r>
    </w:p>
    <w:p>
      <w:r>
        <w:t>FR: GE_GERICHTE JTAPI/426/2025 du 22 avril 2025</w:t>
      </w:r>
    </w:p>
    <w:p>
      <w:r>
        <w:t>IT: GE_GERICHTE JTAPI/426/2025 del 22 aprile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21 avril 2025 à 14h35.</w:t>
      </w:r>
    </w:p>
    <w:p>
      <w:r>
        <w:rPr>
          <w:b/>
        </w:rPr>
        <w:t>E. 3</w:t>
      </w:r>
    </w:p>
    <w:p>
      <w:r>
        <w:t>En préambule, le tribunal relèvera qu’il a pu constater, lors de l’audience de ce jour, que M. A______ maitrisait suffisamment bien le français pour comprendre ce qu’on lui demandait et se faire comprendre. Ses réponses aux questions posées - au besoin reformulées plus simplement s’agissant en particulier de celles posées par son conseil - étaient claires et démontraient qu’il en avait compris le sens. Il a enfin validé par sa signature ses déclarations, à l’issue de l’audience</w:t>
      </w:r>
    </w:p>
    <w:p>
      <w:r>
        <w:t>- 6/10 - A/1366/2025</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Le tribunal peut confirmer, réformer ou annuler la décision du commissaire de police ; le cas échéant, il ordonne la mise en liberté de l’étranger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6</w:t>
      </w:r>
    </w:p>
    <w:p>
      <w:r>
        <w:t>Conformément à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7</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8</w:t>
      </w:r>
    </w:p>
    <w:p>
      <w:r>
        <w:t>En l'espèce, M. A______ a fait l'objet d'une décision de renvoi de Suisse, ainsi que de l'ensemble du territoire des Etats-membre de l'Union européenne et des Etats associés à Schengen (Lichtenstein, Islande, Norvège), prononcée par l’OCPM le 19 mars 2024, dûment notifiée, définitive et exécutoire. Il a en outre régulièrement violé la mesure d'interdiction de pénétrer dans le canton de Genève prononcée à son encontre le 12 mars 2024 par le commissaire de police, pour une durée de 6 mois, et il a été condamné pour cela à réitérées reprises, notamment par le Tribunal de police, le 26 novembre 2024. Enfin, il y a lieu de fortement craindre que, s'il était laissé en liberté, l’intéressé, qui se trouve illégalement sur le territoire helvétique depuis 2023, qui fait l’objet d’une décision de renvoi définitive et exécutoire à laquelle il ne s’est pas conformé, qui n'a ni domicile fixe ou lieu de résidence stable et qui a affirmé à plusieurs reprises devant le Ministère public et la police qu’il refusait d’être renvoyé en Tunisie, se soustrairait à son refoulement de Suisse, par exemple en disparaissant dans la clandestinité. Le fait qu’il indique désormais, et pour la première fois, être d’accord avec son refoulement et vouloir prendre place à bord du vol réservé pour lui le 8 mai 2025 n’y change rien, au vu du comportement qu’il a adopté jusqu’ici. Par conséquent, les conditions légales de la détention administrative de M. A______, au sens des dispositions susmentionnées, sont réalisées.</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w:t>
      </w:r>
    </w:p>
    <w:p>
      <w:r>
        <w:t>- 8/10 - A/1366/2025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13</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14</w:t>
      </w:r>
    </w:p>
    <w:p>
      <w:r>
        <w:t>En l'espèce, au vu de ce qui précède, seule une détention est à même d'assurer l'exécution du renvoi de M. A______ à destination de son pays d’origine, toute mesure moins incisive apparaissant d'emblée vaine. Il existe en outre un intérêt public certain à exécuter le renvoi de l'intéressé. Par ailleurs, les autorités compétentes ont agi avec diligence, entreprenant immédiatement les démarches en vue de l’identifier, d’obtenir un document de voyage supplétif puis de réserver un vol (DEPA) en sa faveur, en vue de son renvoi en Tunisie, vol qui pourra avoir lieu le 8 mai 2025 déjà. Quant à la durée de la détention requise, de trois mois, elle n'apparaît pas d'emblée disproportionnée, au vu des démarches encore en cours et du risque non négligeable que M. A______ s’oppose finalement à son renvoi en Tunisie le jour J, quand bien même il a annoncé le contraire en audience. Cas échéant, les autorités disposeraient ainsi du temps nécessaire pour organiser un nouveau renvoi par un vol, si nécessaire de degré supérieur. Cela étant, si l’intéressé prend place à bord du vol du 8 mai 2025, sa détention administrative prendra alors immédiatement fin à cette date. En l’état toutefois et au vu de ce qui précède, il y a lieu de confirmer l'ordre de mise en détention administrative pour une durée de trois mois.</w:t>
      </w:r>
    </w:p>
    <w:p>
      <w:r>
        <w:t>- 9/10 - A/1366/2025</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- 10/10 - A/1366/2025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