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JTAPI/426/2022 vom 27. April 2022</w:t>
      </w:r>
    </w:p>
    <w:p>
      <w:r>
        <w:t>GE Cour de justice, 2022-04-27, FR</w:t>
      </w:r>
    </w:p>
    <w:p>
      <w:r>
        <w:rPr>
          <w:b/>
        </w:rPr>
        <w:t xml:space="preserve">Quelle: </w:t>
      </w:r>
      <w:r>
        <w:t>https://mcp.opencaselaw.ch/entscheid/ge_gerichte_JTAPI_426_2022</w:t>
      </w:r>
    </w:p>
    <w:p>
      <w:r>
        <w:t>FR: GE_GERICHTE JTAPI/426/2022 du 27 avril 2022</w:t>
      </w:r>
    </w:p>
    <w:p>
      <w:r>
        <w:t>IT: GE_GERICHTE JTAPI/426/2022 del 27 aprile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- 7/13 - A/1238/2021</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Selon l'art. 121 LCI, 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de l'AEAI (al. 2).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(al. 3 let. a ch. 1), ni être la cause d’inconvénients graves (al. 3 let. a ch. 2), ni offrir des dangers particuliers (notamment incendie, émanations nocives ou explosions) par le fait que la surface de la parcelle sur laquelle elle est établie est insuffisante pour constituer une zone de protection (al. 3 let. a ch. 3), elle ne crée pas, par sa nature, sa situation ou le trafic que provoque sa destination ou son exploitation, un danger ou une gêne pour la circulation (al. 3 let. b).</w:t>
      </w:r>
    </w:p>
    <w:p>
      <w:r>
        <w:rPr>
          <w:b/>
        </w:rPr>
        <w:t>E. 5</w:t>
      </w:r>
    </w:p>
    <w:p>
      <w:r>
        <w:t>En l'espèce, il n'est pas contesté que des travaux non conformes aux autorisations de construire DD 1______ et aux conditions qu'elles imposaient (préavis de la police du feu du 12 janvier 2016) ont été réalisés, de sorte qu'une infraction a bien été réalisée.</w:t>
      </w:r>
    </w:p>
    <w:p>
      <w:r>
        <w:rPr>
          <w:b/>
        </w:rPr>
        <w:t>E. 6</w:t>
      </w:r>
    </w:p>
    <w:p>
      <w:r>
        <w:t>La recourante conteste sa responsabilité.</w:t>
      </w:r>
    </w:p>
    <w:p>
      <w:r>
        <w:rPr>
          <w:b/>
        </w:rPr>
        <w:t>E. 7</w:t>
      </w:r>
    </w:p>
    <w:p>
      <w:r>
        <w:t>De façon générale, la police des constructions institue un système d'autorisation dans lequel les architectes mandataires jouent un rôle central. Ainsi prévoit-elle</w:t>
      </w:r>
    </w:p>
    <w:p>
      <w:r>
        <w:t>- 8/13 - A/1238/2021 aussi que toute demande d'autorisation doit être établie et signée par une personne inscrite au tableau des MPQ (art. 2 al. 3 LCI).</w:t>
      </w:r>
    </w:p>
    <w:p>
      <w:r>
        <w:rPr>
          <w:b/>
        </w:rPr>
        <w:t>E. 8</w:t>
      </w:r>
    </w:p>
    <w:p>
      <w:r>
        <w:t>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w:t>
      </w:r>
    </w:p>
    <w:p>
      <w:r>
        <w:rPr>
          <w:b/>
        </w:rPr>
        <w:t>E. 9</w:t>
      </w:r>
    </w:p>
    <w:p>
      <w:r>
        <w:t>Les constructions ou installations neuves ou modifiées, destinées notamment à l'habitation ou au travail (let. a),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2e phrase, et 6. (art. 7 al. 1 LCI). L'attestation certifie que les constructions ou installations sont conformes à l'autorisation de construire, aux conditions de celle-ci, ainsi qu'aux lois et règlements applicables au moment de l'entrée en force de l'autorisation de construire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w:t>
      </w:r>
    </w:p>
    <w:p>
      <w:r>
        <w:rPr>
          <w:b/>
        </w:rPr>
        <w:t>E. 10</w:t>
      </w:r>
    </w:p>
    <w:p>
      <w:r>
        <w:t>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Le mandataire est tenu de faire définir clairement son mandat.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de la loi sur l’exercice des professions d’architecte et d’ingénieur du 17 décembre 1982 (LPAI - L 5 40).</w:t>
      </w:r>
    </w:p>
    <w:p>
      <w:r>
        <w:t>- 9/13 - A/1238/2021 Il résulte de cette dernière disposition que le respect du droit public est l’un des devoirs incombant à l’architecte (Blaise KNAPP, "La profession d’architecte en droit public", in Le droit de l’architecte, 1986, p. 487 ss n. 510 ; cf. ATA/118/2013 du 26 février 2013).</w:t>
      </w:r>
    </w:p>
    <w:p>
      <w:r>
        <w:rPr>
          <w:b/>
        </w:rPr>
        <w:t>E. 11</w:t>
      </w:r>
    </w:p>
    <w:p>
      <w:r>
        <w:t>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 cf. not. ATA/161/2014 du 18 mars 2014).</w:t>
      </w:r>
    </w:p>
    <w:p>
      <w:r>
        <w:rPr>
          <w:b/>
        </w:rPr>
        <w:t>E. 12</w:t>
      </w:r>
    </w:p>
    <w:p>
      <w:r>
        <w:t>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ATA/569/2015 du 2 juin 2015 ; ATA/161/2014 du 18 mars 2014 ; ATA/118/2013 du 26 février 2013 ; ATA/19/2018 du 9 janvier 2018 consid. 4e).</w:t>
      </w:r>
    </w:p>
    <w:p>
      <w:r>
        <w:rPr>
          <w:b/>
        </w:rPr>
        <w:t>E. 13</w:t>
      </w:r>
    </w:p>
    <w:p>
      <w:r>
        <w:t>Le DT dresse et tient à jour le tableau des MPQ. Le tableau distingue différentes catégories, dont les architectes. Seules les personnes inscrites sur le tableau sont autorisées à exercer l’une des professions mentionnées pour les travaux dont l’exécution est soumise à autorisation en vertu de la LCI. Les constructions et installations d’importance secondaire sont réservées (art. 1 al. 1 à 3 du règlement d’application de la loi sur l’exercice des professions d’architecte et d’ingénieur du 9 novembre 1983 - RPAI - L 5 40.01).</w:t>
      </w:r>
    </w:p>
    <w:p>
      <w:r>
        <w:rPr>
          <w:b/>
        </w:rPr>
        <w:t>E. 14</w:t>
      </w:r>
    </w:p>
    <w:p>
      <w:r>
        <w:t>Pour les architectes,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RPAI).</w:t>
      </w:r>
    </w:p>
    <w:p>
      <w:r>
        <w:t>- 10/13 - A/1238/2021</w:t>
      </w:r>
    </w:p>
    <w:p>
      <w:r>
        <w:rPr>
          <w:b/>
        </w:rPr>
        <w:t>E. 15</w:t>
      </w:r>
    </w:p>
    <w:p>
      <w:r>
        <w:t>Tout changement dans la personne ou le rôle du mandataire doit être annoncé sans délai et par écrit au département. À défaut, ce changement ne lui est pas opposable (art. 4 RPAI).</w:t>
      </w:r>
    </w:p>
    <w:p>
      <w:r>
        <w:rPr>
          <w:b/>
        </w:rPr>
        <w:t>E. 16</w:t>
      </w:r>
    </w:p>
    <w:p>
      <w:r>
        <w:t>Selon l'art. 137 LCI, est passible d'une amende administrative de CHF 100.- à CHF 150'000.- tout contrevenant à la LCI, à ses règlements d'application, ainsi qu'aux ordres du DT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ainsi que l'établissement, par le MPQ ou le requérant, d'une attestation, au sens de l'art. 7 LCI, non conforme à la réalité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17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(ATA/13/2020 du 7 janvier 2020 consid. 7b ; ATA/440/2019 du 16 avril 2019 ; ATA/19/2018 du 9 janvier 2018).</w:t>
      </w:r>
    </w:p>
    <w:p>
      <w:r>
        <w:rPr>
          <w:b/>
        </w:rPr>
        <w:t>E. 18</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w:t>
      </w:r>
    </w:p>
    <w:p>
      <w:r>
        <w:rPr>
          <w:b/>
        </w:rPr>
        <w:t>E. 19</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w:t>
      </w:r>
    </w:p>
    <w:p>
      <w:r>
        <w:t>- 11/13 - A/1238/2021</w:t>
      </w:r>
    </w:p>
    <w:p>
      <w:r>
        <w:rPr>
          <w:b/>
        </w:rPr>
        <w:t>E. 20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rPr>
          <w:b/>
        </w:rPr>
        <w:t>E. 21</w:t>
      </w:r>
    </w:p>
    <w:p>
      <w:r>
        <w:t>Dans le cas présent, il résulte des considérations qui précèdent que les manquements reprochés sont effectivement réalisés, et sont passibles d'une amende administrative. Lors de l'audience de comparution, le DT a précisé que la sanction prononcée visait exclusivement la violation d'une obligation incombant au MPQ. Il convient dès lors d'examiner si c'est à juste titre que le DT a sanctionné le bureau d'architectes lequel, personne morale employant des architectes dont certains sont inscrits au tableau des MPQ, a été mandaté pour la direction des travaux relatifs à la DD 1______ par le maître d'ouvrage. En effet, eu égard aux dispositions rappelées plus haut mettant en exergue le rôle central du MPQ et la responsabilité que ce dernier assume notamment à l'égard de du département, seul celui-ci peut violer des obligations qui lui incombent en cette qualité et par conséquent être sanctionné pour de telles infractions. Ainsi, la recourante ne pouvait se voir imputer les manquements dont seul répond le MPQ, qualificatif qui est exclusivement attribué à une personne physique inscrite sur le tableau officiel du même nom. L'argument du département selon lequel l'art. 137 al. 4 LCI l'autorise à sanctionner la personne morale lorsqu'il n'apparait pas de prime abord quelles sont les personnes responsables ne lui est d'aucun secours, dès lors que cet alinéa vise des infractions commises dans la gestion d'une personne morale et donc pas celles que seul le MPQ est susceptible de commettre. Quant à l'argument selon lequel la personne du MPQ n'était pas identifiable dès lors que seul un paraphe avait été apposé sur l'attestation globale de conformité ne saurait convaincre. En effet, dans la mesure où la loi prévoit que le MPQ doit la signer, le département doit être en mesure de vérifier que le signataire possède effectivement la qualité de MPQ. On regrettera à cet égard l'absence de vérification de la part du département qui ne s'est pas assuré que M. D______ désigné comme personne chargée de la direction des travaux était bien inscrit au tableau des MPQ.</w:t>
      </w:r>
    </w:p>
    <w:p>
      <w:r>
        <w:t>- 12/13 - A/1238/2021</w:t>
      </w:r>
    </w:p>
    <w:p>
      <w:r>
        <w:rPr>
          <w:b/>
        </w:rPr>
        <w:t>E. 22</w:t>
      </w:r>
    </w:p>
    <w:p>
      <w:r>
        <w:t>Partant, l'amende litigieuse sera annulée.</w:t>
      </w:r>
    </w:p>
    <w:p>
      <w:r>
        <w:rPr>
          <w:b/>
        </w:rPr>
        <w:t>E. 23</w:t>
      </w:r>
    </w:p>
    <w:p>
      <w:r>
        <w:t>À toutes fins utile, il sera indiqué que le DT demeure libre de notifier une amende à M. F______, s'il était bien le MPQ en charge.</w:t>
      </w:r>
    </w:p>
    <w:p>
      <w:r>
        <w:rPr>
          <w:b/>
        </w:rPr>
        <w:t>E. 24</w:t>
      </w:r>
    </w:p>
    <w:p>
      <w:r>
        <w:t>Aucun émolument ne sera perçu et l'avance de frais de CHF 900.- sera restituée à la recourante.</w:t>
      </w:r>
    </w:p>
    <w:p>
      <w:r>
        <w:rPr>
          <w:b/>
        </w:rPr>
        <w:t>E. 25</w:t>
      </w:r>
    </w:p>
    <w:p>
      <w:r>
        <w:t>Aucune indemnité de procédure ne sera allouée, la recourante qui a agi en personne n'y ayant pas conclu.</w:t>
      </w:r>
    </w:p>
    <w:p>
      <w:r>
        <w:t>- 13/13 - A/1238/2021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