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JTAPI/425/2021 vom 30. April 2021</w:t>
      </w:r>
    </w:p>
    <w:p>
      <w:r>
        <w:t>GE Cour de justice, 2021-04-30, FR</w:t>
      </w:r>
    </w:p>
    <w:p>
      <w:r>
        <w:rPr>
          <w:b/>
        </w:rPr>
        <w:t xml:space="preserve">Quelle: </w:t>
      </w:r>
      <w:r>
        <w:t>https://mcp.opencaselaw.ch/entscheid/ge_gerichte_JTAPI_425_2021</w:t>
      </w:r>
    </w:p>
    <w:p>
      <w:r>
        <w:t>FR: GE_GERICHTE JTAPI/425/2021 du 30 avril 2021</w:t>
      </w:r>
    </w:p>
    <w:p>
      <w:r>
        <w:t>IT: GE_GERICHTE JTAPI/425/2021 del 30 aprile 2021</w:t>
      </w:r>
    </w:p>
    <w:p>
      <w:pPr>
        <w:pStyle w:val="Heading2"/>
      </w:pPr>
      <w:r>
        <w:t>Erwägungen</w:t>
      </w:r>
    </w:p>
    <w:p>
      <w:r>
        <w:rPr>
          <w:b/>
        </w:rPr>
        <w:t>E. 1</w:t>
      </w:r>
    </w:p>
    <w:p>
      <w:r>
        <w:t>Le Tribunal administratif de première instance connaît des recours dirigés, comme en l’espèce, contre les décisions du service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w:t>
      </w:r>
    </w:p>
    <w:p>
      <w:r>
        <w:t>- 5/9 - A/647/2020 V 71 consid. 5.1 ; 123 V 150 consid. 2 ; arrêt du Tribunal fédéral 1C_107/2016 du 28 juillet 2016 consid. 9). 4.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5</w:t>
      </w:r>
    </w:p>
    <w:p>
      <w:r>
        <w:t>Pour déterminer la durée et s'il y a lieu de prononcer un retrait d'admonestation, la LCR distingue les infractions légères, moyennement graves et graves (art. 16a à 16c LCR). Commet en particulier une infraction grave, selon l'art. 16c al. 1 let. a LCR, la personne qui, en violant gravement les règles de la circulation, met sérieusement en danger la sécurité d'autrui ou en prend le risque.</w:t>
      </w:r>
    </w:p>
    <w:p>
      <w:r>
        <w:rPr>
          <w:b/>
        </w:rPr>
        <w:t>E. 6</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et 3.2 et les arrêts cités ; arrêt du Tribunal fédéral 1C_580/2017 du 1er octobre 2018 consid. 2.1) 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(ATF 126 II 196 consid. 2a ; 124 II 97 consid. 2c ; arrêts du Tribunal fédéral 1C_580/2017 du 1er octobre 2018 consid. 2.1 ; 1C_125/2016 du 26 octobre 2016 consid. 3.1).</w:t>
      </w:r>
    </w:p>
    <w:p>
      <w:r>
        <w:rPr>
          <w:b/>
        </w:rPr>
        <w:t>E. 7</w:t>
      </w:r>
    </w:p>
    <w:p>
      <w:r>
        <w:t>Lorsque la qualification d'un acte ou la culpabilité est douteuse, il convient de statuer sur le retrait du permis de conduire après seulement que la procédure</w:t>
      </w:r>
    </w:p>
    <w:p>
      <w:r>
        <w:t>- 6/9 - A/647/2020 pénale soit achevée par une décision entrée en force, car, fondamentalement, selon la jurisprudence, l'autorité administrative appelée à prononcer un retrait du permis de conduire est en principe liée par les constatations de fait d'une telle décision, la sécurité du droit commandant en effet d'éviter que l'indépendance du juge pénal et du juge administratif ne conduise à des jugements opposés rendus sur la base des mêmes faits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ATA/23/2015 du 6 janvier 2015 ; ATA/837/2014 du 28 octobre 2014 ; ATA/210/2014 du 1er avril 2014 ; ATA/709/2013 du 29 octobre 2013 ; ATA/655/2013 du 1er octobre 2013 ; ATA/363/2011 du 7 juin 2011).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w:t>
      </w:r>
    </w:p>
    <w:p>
      <w:r>
        <w:rPr>
          <w:b/>
        </w:rPr>
        <w:t>E. 8</w:t>
      </w:r>
    </w:p>
    <w:p>
      <w:r>
        <w:t>En l'espèce, le recourant a reconnu avoir dépassé la vitesse autorisée sur le quai de Cologny le 10 septembre 2019, estimant toutefois que le dépassement de 61 km/h retenu – soit une vitesse calculée par le radar de 127 km/h - était excessif, estimant avoir roulé à une vitesse située entre 80 et 90 km/h. Il considérait dès lors que l’étalonnage du radar était incorrect et qu’un contrôle technique de celui-ci devait être ordonné.</w:t>
      </w:r>
    </w:p>
    <w:p>
      <w:r>
        <w:t>- 7/9 - A/647/2020 Dans le cadre de la procédure pénale ouverte à son encontre suite à l’infraction, le recourant a également fait valoir cet argument et demandé le contrôle du radar. Le tribunal ignore si ce contrôle a été effectué. En tout état, le recourant ne s’est pas opposé au verdict de culpabilité ni au prononcé de la peine requise par le Ministère public et a dès lors été condamné par le Tribunal de police à une peine privative de liberté d’un an avec sursis pour violation intentionnelle des règles fondamentales de la circulation routière au sens de l’art. 90 al. 3 et 4 let. b LCR. Il a par ailleurs indiqué ne pas recourir contre le jugement. Il en découle que le dépassement de la vitesse autorisée retenu par le juge pénal est supérieur à 50 km/h ; les faits retenus par le juge pénal liant le tribunal, il n’est pas nécessaire d’ordonner un contrôle de l’étalonnage du radar. Un tel dépassement constitue objectivement une infraction grave aux règles de la circulation routière sous l'angle de l'art. 16c al. 1 let. a LCR. Aucune circonstance particulière ne peut être retenue.</w:t>
      </w:r>
    </w:p>
    <w:p>
      <w:r>
        <w:rPr>
          <w:b/>
        </w:rPr>
        <w:t>E. 9</w:t>
      </w:r>
    </w:p>
    <w:p>
      <w:r>
        <w:t>L'art. 16c al. 2 let. a bis LCR prévoit qu'après une infraction grave, le permis de conduire est retiré pour vingt-quatre mois au minimum si, par une violation intentionnelle des règles fondamentales de la circulation routière, la personne accepte de courir un grand risque d’accident pouvant entrainer de graves blessures ou la mort, que ce soit en commettant des excès de vitesse particulièrement importants, en effectuant des dépassements téméraires ou en participant à des courses de vitesse illicites avec des véhicules automobiles ; l’art. 90 al. 4 LCR s’applique.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 1C_478/2016 du 10 octobre 2016 consid. 2 ; 1C_32/2015 du 18 juin 2015 consid. 6.1 ; 1C_333/2014 du 22 septembre 2014 consid. 4.4 ; 1C_593/2013 du 25 juin 2013 consid. 2 ; 1C_188/2010 du 6 septembre 2010 consid. 2.1 ; 1C_526/2010 du 25 mars 2010 consid. 3.1).</w:t>
      </w:r>
    </w:p>
    <w:p>
      <w:r>
        <w:t>- 8/9 - A/647/2020</w:t>
      </w:r>
    </w:p>
    <w:p>
      <w:r>
        <w:rPr>
          <w:b/>
        </w:rPr>
        <w:t>E. 10</w:t>
      </w:r>
    </w:p>
    <w:p>
      <w:r>
        <w:t>En l'occurrence, le SCV ne s'est pas écarté du minimum légal prévu par l'art. 16c al. 2 let. a bis LCR en fixant à vingt-quatre mois la durée du retrait du permis de conduire du recourant. Etant lié par cette durée, qui constitue le minimum légal incompressible devant sanctionner l'infraction en cause, le SCV a correctement appliqué les règles en vigueur et n'a pas excédé ou abusé de son pouvoir d'appréciation, ne pouvant en aucune manière tenir compte des besoins professionnels du précité. Il ne pouvait pas plus sanctionner les faits reprochés à au recourant par un autre type de mesure. Il en résulte que sa décision ne peut être que confirmée.</w:t>
      </w:r>
    </w:p>
    <w:p>
      <w:r>
        <w:rPr>
          <w:b/>
        </w:rPr>
        <w:t>E. 11</w:t>
      </w:r>
    </w:p>
    <w:p>
      <w:r>
        <w:t>Ne reposant sur aucun motif valable, le recours sera rejeté,</w:t>
      </w:r>
    </w:p>
    <w:p>
      <w:r>
        <w:rPr>
          <w:b/>
        </w:rPr>
        <w:t>E. 12</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t>- 9/9 - A/647/2020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