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JTAPI/424/2024 vom 6. September 2016</w:t>
      </w:r>
    </w:p>
    <w:p>
      <w:r>
        <w:t>GE Cour de justice, 2016-09-06, FR</w:t>
      </w:r>
    </w:p>
    <w:p>
      <w:r>
        <w:rPr>
          <w:b/>
        </w:rPr>
        <w:t xml:space="preserve">Quelle: </w:t>
      </w:r>
      <w:r>
        <w:t>https://mcp.opencaselaw.ch/entscheid/ge_gerichte_JTAPI_424_2024</w:t>
      </w:r>
    </w:p>
    <w:p>
      <w:r>
        <w:t>FR: GE_GERICHTE JTAPI/424/2024 du 6 septembre 2016</w:t>
      </w:r>
    </w:p>
    <w:p>
      <w:r>
        <w:t>IT: GE_GERICHTE JTAPI/424/2024 del 6 settembre 2016</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t>- 7/11 - A/596/2024</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L'objet du litige concerne le refus de l'autorité intimée, exprimé dans la décision du 26 janvier 2024, d'entrer en matière sur la requête que lui a présentée la recourante le 28 novembre 2023 en vue de reconsidérer la décision du 21 octobre 2022. Il convient donc d'examiner si c'est à juste titre que la décision litigieuse prononce ce refus d'entrer en matière.</w:t>
      </w:r>
    </w:p>
    <w:p>
      <w:r>
        <w:rPr>
          <w:b/>
        </w:rPr>
        <w:t>E. 6</w:t>
      </w:r>
    </w:p>
    <w:p>
      <w:r>
        <w:t>Selon l'art. 48 al. 1 LPA, les demandes en reconsidération de décisions prises par les autorités administratives sont recevables lorsque (let. a) un motif de révision au sens de l’art. 80, let. a et b, existe ou (let. b) les circonstances se sont modifiées dans une mesure notable depuis la première décision.</w:t>
      </w:r>
    </w:p>
    <w:p>
      <w:r>
        <w:rPr>
          <w:b/>
        </w:rPr>
        <w:t>E. 7</w:t>
      </w:r>
    </w:p>
    <w:p>
      <w:r>
        <w:t>Selon l'art. 80 LPA, il y a lieu à révision lorsque, dans une affaire réglée par une décision définitive, il apparaît (let. a) qu’un crime ou un délit, établi par une procédure pénale ou d’une autre manière, a influencé la décision ou (let. b) que des faits ou des moyens de preuve nouveaux et importants existent, que le recourant ne pouvait connaître ou invoquer dans la procédure précédente.</w:t>
      </w:r>
    </w:p>
    <w:p>
      <w:r>
        <w:rPr>
          <w:b/>
        </w:rPr>
        <w:t>E. 7.2</w:t>
      </w:r>
    </w:p>
    <w:p>
      <w:r>
        <w:t>; 2C_883/2018 du 21 mars 2019 consid. 4.4 ; 2C_556/2018 du 14 novembre 2018 consid. 3 ; 2C_198/2018 du 25 juin 2018 consid. 3.3). 10. Selon la jurisprudence rendue en matière de police des étrangers, le simple écoulement du temps entre les décisions des autorités ne constitue pas un motif justifiant une reconsidération (arrêts du Tribunal fédéral 2C_38/2008 du 2 mai 2008 consid. 3.4 ; 2A.180/2000 du 14 août 2000 consid. 4c ; cf. aussi arrêt 2A.271/2004 du 7 octobre 2004 consid. 5 et 6; arrêts du Tribunal administratif fédéral C- 1545/2008 du 8 juillet 2008 consid. 5 ; C-7483/2006 du 19 juin 2007 consid. 6 ; C- 1798/2006 du 15 juin 2007 consid. 6 ; C-273/2006 du 25 avril 2007 consid. 5.3). Autrement dit, on ne saurait voir dans le simple écoulement du temps et dans une évolution normale de l’intégration en Suisse une modification des circonstances susceptibles d’entraîner une reconsidération de la décision incriminée (cf. not. arrêts du Tribunal administratif fédéral F-5003/2019 du 6 avril 2020 consid. 4.3 ; F-2581/2017 du 3 septembre 2018 consid. 3.4 ; F-2638/2017 du 9 novembre 2017 consid. 5.3). Le fait d'invoquer des faits nouveaux résultant pour l'essentiel de l'écoulement du temps, que le recourant a largement favorisé, peut d'ailleurs être reconnu comme un procédé dilatoire (cf. arrêt du Tribunal fédéral 2A.271/2004 du 7 octobre 2004 consid. 3.3). 11. Ainsi, bien que l'écoulement du temps et la poursuite d'une intégration socio- professionnelle constituent des modifications des circonstances, ces éléments ne peuvent pas être qualifiés de notables au sens de l'art. 48 al. 1 let. b LPA, lorsqu'ils résultent uniquement du fait que l'étranger ne s'est pas conformé à une décision initiale malgré son entrée en force (ATA/1239/2020 du 8 décembre 2020 consid. 3b ; ATA/539/2020 précité consid. 4b ; ATA/1244/2019 13 août 2019 consid. 5b). 12. En l'espèce, la recourante fait valoir deux éléments à l’appui de sa demande de reconsidération. D’une part, elle indique qu’en cas de retour en Equateur, elle ne pourrait plus prendre en charge les frais médicaux de ses parents car elle dégageait le montant nécessaire de CHF 10'000.- par an de son activité d’employée de maison en Suisse. Or, non seulement la recourante a déjà fait valoir cet argument dans le cadre de sa demande d’octroi d’une autorisation de séjour pour cas de rigueur, mais, de plus, elle n’apporte aucun nouvel élément qui permettrait de retenir que la situation aurait changé depuis lors. D’autre part, la recourante invoque la situation politique qui prévaut en Equateur. Dans son arrêt du 22 août 2023, la chambre administrative a retenu que le renvoi de la recourante en Equateur était possible, licite et raisonnablement exigible. Son</w:t>
      </w:r>
    </w:p>
    <w:p>
      <w:r>
        <w:t>- 10/11 - A/596/2024 retour la placerait dans la même situation que ses compatriotes qui devaient faire face à l’insécurité qu’elle évoque. Elle ne faisait cependant valoir aucun élément rendant vraisemblable qu’à son retour en Equateur, elle serait concrètement exposée à un danger spécifique pour sa vie ou son intégrité physique. Dans le cadre de sa demande de reconsidération, la recourante fait valoir une dégradation de la situation de l’Equateur, se référant notamment à des articles parus dans la presse. Elle n’indique toutefois pas qu’en cas de retour dans ce pays, elle serait personnellement exposée à une situation de mise en danger concret différente que celle que vivent ses compatriotes restés sur place. Par ailleurs, comme cela ressort des informations transmises par le SEM à l’OCPM le 4 mars 2024, la situation était sous contrôle et un retour à B______ – sa ville natale - ne présenterait aucun danger concret pour sa vie ; le pays était loin d’une situation de guerre civile comme plusieurs journaux l’avait décrit – les médias étrangers ayant quelque peu exagéré la description de la situation. Rien ne permet de retenir que cet état des choses se serait modifiée depuis.</w:t>
      </w:r>
    </w:p>
    <w:p>
      <w:r>
        <w:rPr>
          <w:b/>
        </w:rPr>
        <w:t>E. 8</w:t>
      </w:r>
    </w:p>
    <w:p>
      <w:r>
        <w:t>En vertu de l’art. 48 al. 1 let. b LPA, dont l’application est seule envisageable en l’espèce, il faut que la situation du destinataire de la décision se soit notablement modifiée depuis la première décision. Il faut entendre par là des « faits nouveaux nouveaux » (vrais nova), c'est-à-dire survenus après la prise de la décision litigieuse, qui modifient de manière importante l'état de fait ou les bases juridiques sur lesquels l'autorité a fondé sa décision, justifiant par là sa remise en cause (ATA/1620/2019 du 5 novembre 2019 consid. 3a ; ATA/159/2018 du 20 février 2018 consid. 3a). Pour qu'une telle condition soit réalisée, il faut que survienne une</w:t>
      </w:r>
    </w:p>
    <w:p>
      <w:r>
        <w:t>- 8/11 - A/596/2024 modification importante de l'état de fait ou des bases juridiques, ayant pour conséquence, malgré l'autorité de la chose jugée rattachée à la décision en force, que cette dernière doit être remise en question (ATA/1239/2020 du 8 décembre 2020 consid. 3b ; ATA/539/2020 du 29 mai 2020 consid. 4b ; ATA/1244/2019 du</w:t>
      </w:r>
    </w:p>
    <w:p>
      <w:r>
        <w:rPr>
          <w:b/>
        </w:rPr>
        <w:t>E. 13</w:t>
      </w:r>
    </w:p>
    <w:p>
      <w:r>
        <w:t>Au vu de ce qui précède, c’est à bon droit que le département a retenu que les circonstances ne s’étaient pas modifiées dans une mesure notable depuis que la décision du 21 octobre 2022, confirmée par arrêt de la chambre du 22 août 2023, a été rendue. Il en résulte que, sauf à aboutir à un résultat qu'il s'agit d'éviter, à savoir permettre à un justiciable de remettre sans cesse en cause une décision entrée en force, en particulier pour des motifs qu'il a déjà fait valoir précédemment, l’autorité intimée était fondée à refuser d’entrer en matière sur la demande de reconsidération déposée par la recourante.</w:t>
      </w:r>
    </w:p>
    <w:p>
      <w:r>
        <w:rPr>
          <w:b/>
        </w:rPr>
        <w:t>E. 14</w:t>
      </w:r>
    </w:p>
    <w:p>
      <w:r>
        <w:t>En conséquence, le recours doit être rejeté.</w:t>
      </w:r>
    </w:p>
    <w:p>
      <w:r>
        <w:rPr>
          <w:b/>
        </w:rPr>
        <w:t>E. 15</w:t>
      </w:r>
    </w:p>
    <w:p>
      <w:r>
        <w:t>En application des art. 87 al. 1 LPA et 1 et 2 du règlement sur les frais, émoluments et indemnités en procédure administrative du 30 juillet 1986 (RFPA - E 5 10.03), la recourante qui succombe est condamnée au paiement d’un émolument s'élevant à CHF 500.-; il est couvert par l’avance de frais versée à la suite du dépôt du recours. Vu l’issue du litige, aucune indemnité de procédure ne sera allouée (art. 87 al. 2 LPA).</w:t>
      </w:r>
    </w:p>
    <w:p>
      <w:r>
        <w:rPr>
          <w:b/>
        </w:rPr>
        <w:t>E. 16</w:t>
      </w:r>
    </w:p>
    <w:p>
      <w:r>
        <w:t>En vertu des art. 89 al. 2 et 111 al. 2 de la loi sur le Tribunal fédéral du 17 juin 2005 (LTF - RS 173.110), le présent jugement sera communiqué au secrétariat d'État aux migrations.</w:t>
      </w:r>
    </w:p>
    <w:p>
      <w:r>
        <w:t>- 11/11 - A/596/2024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