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JTAPI/423/2025 vom 17. April 2025</w:t>
      </w:r>
    </w:p>
    <w:p>
      <w:r>
        <w:t>GE Cour de justice, 2025-04-17, FR</w:t>
      </w:r>
    </w:p>
    <w:p>
      <w:r>
        <w:rPr>
          <w:b/>
        </w:rPr>
        <w:t xml:space="preserve">Quelle: </w:t>
      </w:r>
      <w:r>
        <w:t>https://mcp.opencaselaw.ch/entscheid/ge_gerichte_JTAPI_423_2025</w:t>
      </w:r>
    </w:p>
    <w:p>
      <w:r>
        <w:t>FR: GE_GERICHTE JTAPI/423/2025 du 17 avril 2025</w:t>
      </w:r>
    </w:p>
    <w:p>
      <w:r>
        <w:t>IT: GE_GERICHTE JTAPI/423/2025 del 17 aprile 2025</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t>- 5/9 - A/1224/2025 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6</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7</w:t>
      </w:r>
    </w:p>
    <w:p>
      <w:r>
        <w:t>L'étranger est passible d'une peine privative de liberté de trois ans au plus ou d'une peine pécuniaire s'il n'observe pas les mesures qui lui sont imposées dans ce cadre (cf. art. 119 LEI).</w:t>
      </w:r>
    </w:p>
    <w:p>
      <w:r>
        <w:rPr>
          <w:b/>
        </w:rPr>
        <w:t>E. 8</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9</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w:t>
      </w:r>
    </w:p>
    <w:p>
      <w:r>
        <w:rPr>
          <w:b/>
        </w:rPr>
        <w:t>E. 10</w:t>
      </w:r>
    </w:p>
    <w:p>
      <w:r>
        <w:t>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w:t>
      </w:r>
    </w:p>
    <w:p>
      <w:r>
        <w:t>- 6/9 - A/1224/2025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w:t>
      </w:r>
    </w:p>
    <w:p>
      <w:r>
        <w:rPr>
          <w:b/>
        </w:rPr>
        <w:t>E. 11</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 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rPr>
          <w:b/>
        </w:rPr>
        <w:t>E. 12</w:t>
      </w:r>
    </w:p>
    <w:p>
      <w:r>
        <w:t>La chambre administrative de la Cour de justice a récemment confirmé une première mesure d’interdiction territoriale pour une durée de 18 mois prononcée contre un étranger condamné à six reprises en 2019 et 2025 pour infractions à la LStup et à d’autres reprises pour infractions à la LEI. Sa dernière condamnation, par ordonnance pénale du 23 janvier 2025, portait sur la vente de 3 gr de cocaïne au total (ATA/247/2025 du 11 mars 2025). Elle a confirmé une interdiction territoriale de douze mois dans le canton de Genève à l’encontre d’une personne sans antécédents, interpellée et condamnée par le Ministère public pour avoir vendu une boulette de cocaïne, l’intéressé n’ayant aucune ressource financière ni aucun intérêt à venir dans le canton (ATA/655/2021 du 23 juin 2021 ; ATA/802/2019 du 17 avril 2019). Elle a enfin confirmé des interdictions territoriales pour une durée de 18 mois prononcées contre un étranger interpellé en flagrant délit de vente de deux boulettes de cocaïne et auparavant condamné deux fois et arrêté une fois pour trafic de stupéfiants (ATA/2577/2022 du 15 septembre 2022) ou un étranger sans titre, travail, lieu de séjour précis ni attaches à Genève, condamné plusieurs fois pour infractions à la LEI et la LStup (ATA/536/2022 du 20 mai 2022).</w:t>
      </w:r>
    </w:p>
    <w:p>
      <w:r>
        <w:rPr>
          <w:b/>
        </w:rPr>
        <w:t>E. 13</w:t>
      </w:r>
    </w:p>
    <w:p>
      <w:r>
        <w:t>En l’espèce, M. A______ n’est titulaire d’aucune autorisation de courte durée de séjour ou d’établissement qui l’autorise à demeurer en Suisse. Il n’a pas de liens avérés avec Genève expliquant vivre et travailler en Italie, avec sa fiancée et son</w:t>
      </w:r>
    </w:p>
    <w:p>
      <w:r>
        <w:t>- 7/9 - A/1224/2025 fils, et y disposer de sa propre entreprise de commerce de produits africains. Il ne fait enfin valoir aucune nécessité de se rendre dans le canton de Genève, expliquant, à l’appui de son opposition qu’il aime la Suisse et qu’il souhaite visiter ce pays en août 2025 avec sa fiancée et son fils, ce que la mesure ne lui interdit au demeurant pas. Depuis 2023, il a fait l’objet de plusieurs condamnations pénales, notamment pour séjour illégal et infractions en lien avec les stupéfiants. Il a par ailleurs fait l’objet d’une première interdiction territoriale pour une durée de six mois pour l’ensemble du canton de Genève en août 2023, qu’il n’a pas respectée. Dans ces conditions, il n'est pas déraisonnable de penser que sa présence à Genève résulte d'une volonté de commettre ou de permettre la commission d’activités délictuelles et criminelles, telles que le trafic de stupéfiants, et qu'il pourrait encore être amené à en commettre. Dès lors, le commissaire de police pouvait effectivement considérer qu'il constituait une menace pour l'ordre et la sécurité publics - au sens où le Tribunal fédéral et la chambre administrative l'entendent - suffisante pour justifier l'application des art. 74 al. 1 let. a LEI et 6 al. 3 LaLEtr, dont les conditions sont donc réunies. L'étendue géographique arrêtée par le commissaire de police n’est, à juste titre, pas remise en cause par l’intéressé. Enfin, la durée de la mesure, de dix-huit mois, apparait conforme à la jurisprudence rappelée ci-dessus et adaptée aux circonstances du cas d'espèce, étant rappelé que l’intéressé n’a pas respecté la première mesure de durée inférieure prononcée à son encontre.</w:t>
      </w:r>
    </w:p>
    <w:p>
      <w:r>
        <w:rPr>
          <w:b/>
        </w:rPr>
        <w:t>E. 14</w:t>
      </w:r>
    </w:p>
    <w:p>
      <w:r>
        <w:t>L’opposition à la mesure est ainsi mal fondée et sera rejetée.</w:t>
      </w:r>
    </w:p>
    <w:p>
      <w:r>
        <w:rPr>
          <w:b/>
        </w:rPr>
        <w:t>E. 15</w:t>
      </w:r>
    </w:p>
    <w:p>
      <w:r>
        <w:t>Partant, le tribunal confirmera l'interdiction de pénétrer dans une région déterminée prise à l'encontre M. A______ pour une durée de dix-huit mois. Dans cette mesure, il ne sera pas entré en matière sur la conclusion de M. A______ tendant à ce qu’il soit autorisé à se rendre en Suisse afin de s'entretenir avec son conseil en son Etude, entre 24 et 48 heures avant toute audience à laquelle il pourrait être convoqué et ceci sans avoir à requérir préalablement un sauf-conduit, dont on peut douter qu’elle soit recevable. A cet égard et à toutes fins utiles, le tribunal se contentera de rappeler que M. A______ et/ou son conseil peuvent en tout temps solliciter la délivrance d’un tel document afin de permettre au premier cité de se rendre en l’étude du second, tout en soulignant qu’au vu du domicile italien de M. A______ et des moyens de communication modernes dont tout un chacun dispose manifestement, un contact téléphonique lui semble néanmoins rester la solution la plus efficiente et économique, pour préparer sa défense, dans une procédure comme celle qu’il a eu à connaitre aujourd’hui.</w:t>
      </w:r>
    </w:p>
    <w:p>
      <w:r>
        <w:rPr>
          <w:b/>
        </w:rPr>
        <w:t>E. 16</w:t>
      </w:r>
    </w:p>
    <w:p>
      <w:r>
        <w:t>Conformément à l'art. 9 al. 6 LaLEtr, le présent jugement sera communiqué à M. A______, à son avocat et au commissaire de police. En vertu des art. 89 al. 2 et 111</w:t>
      </w:r>
    </w:p>
    <w:p>
      <w:r>
        <w:t>- 8/9 - A/1224/2025 al. 2 de la loi sur le Tribunal fédéral du 17 juin 2005 (LTF - RS 173.110), il sera en outre communiqué au secrétariat d'État aux migrations.</w:t>
      </w:r>
    </w:p>
    <w:p>
      <w:r>
        <w:rPr>
          <w:b/>
        </w:rPr>
        <w:t>E. 17</w:t>
      </w:r>
    </w:p>
    <w:p>
      <w:r>
        <w:t>Un éventuel recours déposé contre le présent jugement n'aura pas d'effet suspensif (art. 10 al. 1 LaLEtr).</w:t>
      </w:r>
    </w:p>
    <w:p>
      <w:r>
        <w:t>- 9/9 - A/1224/2025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