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JTAPI/421/2021 vom 29. April 2021</w:t>
      </w:r>
    </w:p>
    <w:p>
      <w:r>
        <w:t>GE Cour de justice, 2021-04-29, FR</w:t>
      </w:r>
    </w:p>
    <w:p>
      <w:r>
        <w:rPr>
          <w:b/>
        </w:rPr>
        <w:t xml:space="preserve">Quelle: </w:t>
      </w:r>
      <w:r>
        <w:t>https://mcp.opencaselaw.ch/entscheid/ge_gerichte_JTAPI_421_2021</w:t>
      </w:r>
    </w:p>
    <w:p>
      <w:r>
        <w:t>FR: GE_GERICHTE JTAPI/421/2021 du 29 avril 2021</w:t>
      </w:r>
    </w:p>
    <w:p>
      <w:r>
        <w:t>IT: GE_GERICHTE JTAPI/421/2021 del 29 aprile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47 de la loi sur la procédure administrative du 12 septembre 1985 (LPA-GE - E 5 10), une notification irrégulière ne peut entraîner aucun préjudice pour les parties.</w:t>
      </w:r>
    </w:p>
    <w:p>
      <w:r>
        <w:rPr>
          <w:b/>
        </w:rPr>
        <w:t>E. 3</w:t>
      </w:r>
    </w:p>
    <w:p>
      <w:r>
        <w:t>La décision litigieuse, rendue le 21 févier 2020, a été d'abord adressée par erreur à M. MUMENTHALER, puis réadressée au bon destinataire par pli simple du</w:t>
      </w:r>
    </w:p>
    <w:p>
      <w:r>
        <w:rPr>
          <w:b/>
        </w:rPr>
        <w:t>E. 3.2</w:t>
      </w:r>
    </w:p>
    <w:p>
      <w:r>
        <w:t>; 136 I 229 consid. 5.2 ; cf. aussi ATA/967/2016 du 15 novembre 2016 consid. 2b).</w:t>
      </w:r>
    </w:p>
    <w:p>
      <w:r>
        <w:rPr>
          <w:b/>
        </w:rPr>
        <w:t>E. 5</w:t>
      </w:r>
    </w:p>
    <w:p>
      <w:r>
        <w:t>Garanti par l'art. 29 al. 2 de la Constitution fédérale de la Confédération suisse du 18 avril 1999 (Cst. - RS 101), le droit d'être entendu implique, pour l'autorité, l'obligation de motiver sa décision (cf. art. 46 al. 1 LPA).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 2.1 et les arrêts cités).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w:t>
      </w:r>
    </w:p>
    <w:p>
      <w:r>
        <w:t>- 6/9 - A/3512/2020 à rendre (ATF 139 IV 179 consid. 2.2 ; 138 I 232 consid. 5.1 ; 137 II 266 consid.</w:t>
      </w:r>
    </w:p>
    <w:p>
      <w:r>
        <w:rPr>
          <w:b/>
        </w:rPr>
        <w:t>E. 6</w:t>
      </w:r>
    </w:p>
    <w:p>
      <w:r>
        <w:t>En l’espèce, même si la motivation de la décision d'émoluments entreprise est effectivement très succincte et comporte un erreur d'alinéa de la disposition légale applicable (al. 10 au lieu de l'al. 3 de l'art. 257 RCI), la recourante en a très bien saisi le sens et la portée, ce qui lui a permis d'exercer de manière complète son droit de recours. Le caractère succinct de la motivation et l'erreur de plume figurant à l'appui de la décision ne justifient donc pas le renvoi de la cause à l'autorité intimée. Au demeurant, celle-ci s'est expliquée plus en détails depuis lors, de sorte qu'un tel renvoi entraînerait une procédure purement formelle et un retard inutile (cf. ATF 137 I 195 consid. 2.3.2 ; 133 I 201 consid. 2.2 ; arrêts du Tribunal fédéral 1C_572/2011 du 3 avril 2012 consid. 2.1 et les références citées ; 1C_272/2010 du 16 mars 2011 consid. 2.6.2 ; ATA/301/2012 du 15 mai 2012), étant rappelé qu'un défaut de motivation peut être réparé par la prise de position de l'autorité intimée, suite à un recours, si l'administré se voit ensuite offrir la possibilité de s'exprimer à son sujet, ce qui a été le cas en l'occurrence, et que, comme en l'occurrence, l'autorité de recours peut examiner librement les questions de fait et de droit (cf. ATF 133 I 201 consid. 2.2 ; arrêt du Tribunal fédéral 1C_272/2010 du 16 mars 2011 consid. 2.6.2). Ce grief sera dès lors écarté.</w:t>
      </w:r>
    </w:p>
    <w:p>
      <w:r>
        <w:rPr>
          <w:b/>
        </w:rPr>
        <w:t>E. 7</w:t>
      </w:r>
    </w:p>
    <w:p>
      <w:r>
        <w:t>Sur le fond, la recourante fait valoir que, s'agissant d'émoluments relatifs à une demande préalable, le calcul aurait dû être fait sur la base de l'art. 257 al. 11 RCI.</w:t>
      </w:r>
    </w:p>
    <w:p>
      <w:r>
        <w:rPr>
          <w:b/>
        </w:rPr>
        <w:t>E. 8</w:t>
      </w:r>
    </w:p>
    <w:p>
      <w:r>
        <w:t>À teneur de l’art. 154 LCI, le département perçoit un émolument pour toutes les autorisations et permis d’habiter ou d’occuper qu’il délivre, ainsi que pour les recherches d’archives ayant trait aux autorisations de construire (al. 1). Ces émoluments sont fixés par le Conseil d’État (al. 2). Malgré sa teneur, cette disposition permet aussi le prélèvement d’émoluments pour les refus d’autorisation décidés en application de la LCI et de ses règlements d’exécution (ACST/12/2017 du 6 juillet 2017 consid. 7d ; ATA/1306/2018 du 5 décembre 2018 consid. 7a).</w:t>
      </w:r>
    </w:p>
    <w:p>
      <w:r>
        <w:rPr>
          <w:b/>
        </w:rPr>
        <w:t>E. 9</w:t>
      </w:r>
    </w:p>
    <w:p>
      <w:r>
        <w:t>À teneur de l'art. 254 RCI, le département perçoit, lors de la constitution des dossiers et notamment pour toute autorisation ou refus d'autorisation qu'il délivre en application de la loi et de ses règlements d'application, les émoluments calculés selon les dispositions « du présent chapitre » (ie : VIII). Exceptionnellement, l'émolument peut être réduit lorsqu'il paraît manifestement trop important par rapport à l'objet de la demande d'autorisation de construire. L'autorité statue</w:t>
      </w:r>
    </w:p>
    <w:p>
      <w:r>
        <w:t>- 7/9 - A/3512/2020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rPr>
          <w:b/>
        </w:rPr>
        <w:t>E. 10</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w:t>
      </w:r>
    </w:p>
    <w:p>
      <w:r>
        <w:rPr>
          <w:b/>
        </w:rPr>
        <w:t>E. 11</w:t>
      </w:r>
    </w:p>
    <w:p>
      <w:r>
        <w:t>Selon l'art. 5 LCI, la demande préalable tend à obtenir du département une réponse sur l’implantation, la destination, le gabarit, le volume et la dévestiture du projet présenté (al. 1). La réponse à la demande préalable régulièrement publiée vaut décision et déploie les effets prévus aux articles 3, 5, alinéa 1, et 146 de la loi (al. 5).</w:t>
      </w:r>
    </w:p>
    <w:p>
      <w:r>
        <w:rPr>
          <w:b/>
        </w:rPr>
        <w:t>E. 12</w:t>
      </w:r>
    </w:p>
    <w:p>
      <w:r>
        <w:t>En l'espèce, il n'est pas contesté que la taxe d'enregistrement de CHF 250.- est due, la DP 18`788 ayant été enregistrée par le Département en date du 29 juin 2018. Par ailleurs, cette procédure ayant eu trait à une demande préalable, c'est l'art. 257 al. 3 RCI qui est applicable in casu. En effet, contrairement à ce qu'allègue la recourante, l'art. 257 al. 11 RCI concerne les émoluments dus lorsqu'une</w:t>
      </w:r>
    </w:p>
    <w:p>
      <w:r>
        <w:t>- 8/9 - A/3512/2020 autorisation de construire est délivrée, postérieurement à une procédure de demande préalable. Or, en l'espèce, il s'agit d'une réponse à une demande préalable. C'est donc à juste titre que le département a calculé l'émolument dû sur une base de CHF 50.- par m2, pour 2'900 m2, en application de l'art. 257 al. 3 RCI, étant relevé pour le surplus que le fait que la DP ait été abandonnée ne prête pas à conséquence quant à la facturation d'émoluments, cette situation étant expressément prévue par l'art. 257 al. 13 RCI. Pour le surplus, comme indiqué supra, ce n'est qu'à titre exceptionnel que le département peut réduire cet émolument lorsque celui-ci paraît manifestement trop important par rapport à l'objet de la demande, étant rappelé qu'il dispose à cet égard d'un large pouvoir d'appréciation (art. 254 al. 2 RCI : « L'autorité statue librement »). Or, en l'espèce, même si l'émolument retenu (CHF 14'750.-) demeure effectivement important en soi, il n'en demeure pas moins que sa fixation n'est pas contraire à l'art. 257 al. 3 RCI et qu'elle ne saurait être perçue comme étant le résultat d'une évaluation arbitraire. De plus, comme justement relevé par l'autorité intimée dans ses observations, cet émolument apparait justifié, dès lors qu'il ressort du dossier que la DP 18'788 a nécessité un an et demi de suivi, la consultation de seize instances et l'émission de huit demandes de compléments ou de modifications du projet. Il ressort de ce qui précède que le montant de l'émolument fixé a été correctement calculé et est justifié. Dans cette mesure, sauf à statuer en opportunité, le tribunal ne saurait corriger ce montant. Il est certes regrettable que le département ait adressé la facture litigieuse à la recourante plus de huit mois après le classement de sa demande préalable (soit après avoir réalisé qu'il l'avait envoyée par erreur en février 2021 à M. MUMENTHALER). Ce contretemps n'a cependant aucune incidence sur le montant de l'émolument en question qui repose sur des critères et un calcul objectifs (surface concernée en m2 x CHF 50.-).</w:t>
      </w:r>
    </w:p>
    <w:p>
      <w:r>
        <w:rPr>
          <w:b/>
        </w:rPr>
        <w:t>E. 13</w:t>
      </w:r>
    </w:p>
    <w:p>
      <w:r>
        <w:t>La décision litigieuse ne prête donc pas le flanc à la critique,</w:t>
      </w:r>
    </w:p>
    <w:p>
      <w:r>
        <w:rPr>
          <w:b/>
        </w:rPr>
        <w:t>E. 14</w:t>
      </w:r>
    </w:p>
    <w:p>
      <w:r>
        <w:t>Compte tenu de ce qui précède, le recours sera rejeté et la décision contestée confirmée.</w:t>
      </w:r>
    </w:p>
    <w:p>
      <w:r>
        <w:rPr>
          <w:b/>
        </w:rPr>
        <w:t>E. 15</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A/3512/2020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