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JTAPI/41/2022 vom 16. Juli 2014</w:t>
      </w:r>
    </w:p>
    <w:p>
      <w:r>
        <w:t>GE Cour de justice, 2014-07-16, FR</w:t>
      </w:r>
    </w:p>
    <w:p>
      <w:r>
        <w:rPr>
          <w:b/>
        </w:rPr>
        <w:t xml:space="preserve">Quelle: </w:t>
      </w:r>
      <w:r>
        <w:t>https://mcp.opencaselaw.ch/entscheid/ge_gerichte_JTAPI_41_2022</w:t>
      </w:r>
    </w:p>
    <w:p>
      <w:r>
        <w:t>FR: GE_GERICHTE JTAPI/41/2022 du 16 juillet 2014</w:t>
      </w:r>
    </w:p>
    <w:p>
      <w:r>
        <w:t>IT: GE_GERICHTE JTAPI/41/2022 del 16 luglio 2014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Selon l'art. 78 al. 1 LEI, si l'étranger n'a pas obtempéré à l'injonction de quitter la Suisse dans le délai prescrit et que la décision entrée en force de renvoi ou la décision entrée en force d'expulsion au sens des art. 66a ou 66abis CP - notamment - ne peut être exécutée en raison de son comportement, il peut être placé en détention afin de garantir qu'il quittera effectivement le pays, pour autant que les conditions de la détention au sens de l'art. 76 LEI ne soient pas remplies et qu'il n'existe pas d'autre mesure moins contraignante permettant d'atteindre l'objectif visé.</w:t>
      </w:r>
    </w:p>
    <w:p>
      <w:r>
        <w:rPr>
          <w:b/>
        </w:rPr>
        <w:t>E. 6</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(ATF 135 II 105 et la jurisprudence citée).</w:t>
      </w:r>
    </w:p>
    <w:p>
      <w:r>
        <w:rPr>
          <w:b/>
        </w:rPr>
        <w:t>E. 7</w:t>
      </w:r>
    </w:p>
    <w:p>
      <w:r>
        <w:t>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w:t>
      </w:r>
    </w:p>
    <w:p>
      <w:r>
        <w:t>- 11/14 - A/49/2022 migrations - vol. II : LEtr, 2017, p. 834 ; cf. aussi ATA/1517/2017 du 21 novembre 2017 consid. 5c).</w:t>
      </w:r>
    </w:p>
    <w:p>
      <w:r>
        <w:rPr>
          <w:b/>
        </w:rPr>
        <w:t>E. 8</w:t>
      </w:r>
    </w:p>
    <w:p>
      <w:r>
        <w:t>La détention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w:t>
      </w:r>
    </w:p>
    <w:p>
      <w:r>
        <w:rPr>
          <w:b/>
        </w:rPr>
        <w:t>E. 9</w:t>
      </w:r>
    </w:p>
    <w:p>
      <w:r>
        <w:t>Aux termes de l'art. 79 al. 1 et al. 2 let. a LEI, si la personne concernée ne coopère pas avec l'autorité compétente, la durée maximale de la détention, qui comprend notamment la détention en vue du renvoi et la détention pour insoumission, ne peut excéder au total dix-huit mois. La mise en détention découlant de l'expulsion ordonnée par le juge pénal sur la base de l'art. 66a CP ne s'inscrit pas dans la même procédure de renvoi que celle faisant suite à un refus d'entrée en matière sur une demande d'asile. Cela étant, la durée de la détention administrative, envisagée dans son ensemble, doit toujours respecter le principe de la proportionnalité. Le cumul possible de la détention ordonnée à la suite d'un renvoi décidé dans le cadre de la procédure d'asile et de celle ordonnée à la suite d'une expulsion judiciaire peut, lorsque ces deux détentions se suivent rapidement dans le temps, violer ledit principe (ATF 145 II 313 consid. 3.4 et 3.5).</w:t>
      </w:r>
    </w:p>
    <w:p>
      <w:r>
        <w:rPr>
          <w:b/>
        </w:rPr>
        <w:t>E. 10</w:t>
      </w:r>
    </w:p>
    <w:p>
      <w:r>
        <w:t>En l'occurrence, sur le principe, la détention pour insoumission de M. A______ a déjà été confirmée par le tribunal, la chambre administrative et le Tribunal fédéral, notamment, la dernière fois, par arrêt de la chambre administrative du 17 décembre 2021 (ATA/3______ précité). Pour rappel, M. A______ s’est opposé à son renvoi en Tunisie à réitérées reprises et encore lors de l’audience du 18 janvier 2022 devant le tribunal. Son refus de collaborer s'inscrit par ailleurs dans un contexte de non-respect de la décision initiale de renvoi de l'OCPM avec un délai de départ au 10 septembre 2014, une disparition en 2017 puis en 2020 avec avis de recherche et d'arrestation du Ministère public, le non-respect de l'interdiction d'entrée du 16 janvier 2019 et plusieurs condamnations pénales, la dernière par la CPAR le 28 novembre 2020 révoquant la libération conditionnelle et le condamnant à une peine privative de liberté d’ensemble de huit mois avec expulsion du territoire suisse pour une durée de cinq ans, soit à une date où la problématique de sa fille était déjà connue.</w:t>
      </w:r>
    </w:p>
    <w:p>
      <w:r>
        <w:t>Il résulte pour le surplus du dossier que les autorités tunisiennes avaient dans un premier temps été d'accord de délivrer un laissez-passer, et que leur refus fait suite à une communication de M. A______ mettant en avant la présence de sa fille sur territoire helvétique. A cet égard, dans la mesure où l'intéressé indique ne pas avoir pris contact avec les autorités tunisiennes en vue de la délivrance d'un laissez-passer et être toujours opposé à son renvoi, il apparait que les conditions d'une détention pour insoumission sont toujours remplies, la chambre administrative ayant en effet souligné que ce n'était que si les autorités tunisiennes</w:t>
      </w:r>
    </w:p>
    <w:p>
      <w:r>
        <w:t>- 12/14 - A/49/2022 refusaient la délivrance du laissez-passer malgré une démarche de ce type de la part de l'intéressé que la situation devrait être réévaluée.</w:t>
      </w:r>
    </w:p>
    <w:p>
      <w:r>
        <w:t>Pour le surplus s’agissant de la prévisibilité du renvoi, le représentant de l'OCPM a confirmé lors de l'audience que les rapatriements vers la Tunisie restaient possibles, notamment par vols de ligne quotidien, sous la seule condition de l'accord de l'intéressé ou de l'obtention d'un laissez-passer.</w:t>
      </w:r>
    </w:p>
    <w:p>
      <w:r>
        <w:t>Le principe de célérité doit également être considéré comme respecté, même s'il est regrettable que la rencontre entre le SEM et une délégation tunisiennes, prévue début 2022, n'ait pas encore pu avoir lieu à ce jour. Une telle rencontre est toujours d'actualité mais elle a été reportée par la délégation en raison de la pandémie COVID-19. Il ressort enfin des courriels du SEM versés à la procédure que le cas de M. A______ est prioritaire et qu'il sera abordé lors de la rencontre avec la délégation tunisienne. En conclusion, il apparait, une fois encore, que la décision d'expulsion ne peut être exécutée qu'en raison du comportement de M. A______ et, comme déjà été constaté par la chambre administrative dans son dernier arrêt, il n'existe pas d'autres mesures moins contraignantes que la détention au vu de l'opposition persistante de l'intéressé à regagner son pays d'origine. La durée de la prolongation de l'ordre de mise en détention étant de deux mois, la décision attaquée respecte le principe de la proportionnalité. Elle est nécessaire pour obtenir le respect des décisions de justice d’expulser l’intéressé, apte à y parvenir et proportionnée au sens étroit dès lors qu’aucun autre moyen ne permet d’assurer le résultat. La durée maximale de la détention, de dix-huit mois, n'est pour le surplus pas atteinte, dans la mesure où la détention a été de quelques jours en 2019 (15 février au 4 mars 2019), de douze mois en 2021, et de 18 jours en 2022. Elle ne le sera pas non plus à l'issue de la prolongation demandée.</w:t>
      </w:r>
    </w:p>
    <w:p>
      <w:r>
        <w:rPr>
          <w:b/>
        </w:rPr>
        <w:t>E. 11</w:t>
      </w:r>
    </w:p>
    <w:p>
      <w:r>
        <w:t>M. A______ se plaint encore de ses conditions de détention au centre LMC Granges. Il indique en particulier devoir rester 23h minimum par jour dans sa chambre.</w:t>
      </w:r>
    </w:p>
    <w:p>
      <w:r>
        <w:rPr>
          <w:b/>
        </w:rPr>
        <w:t>E. 12</w:t>
      </w:r>
    </w:p>
    <w:p>
      <w:r>
        <w:t>En l'occurrence, renseignements pris auprès dudit centre, il appert que les modalités de détention administratives telles que décrites par M. A______ résultent de sa seule volonté et non pas de la règlementation interne dudit centre. L'intéressé, contrairement à ce qu'il affirme, a en effet la possibilité d'avoir une activité physique quotidienne de 5h hors de sa chambre, de même qu'un travail. Sauf exception liée au COVID-19, les repas, hormis le petit déjeuner sont pris dans un réfectoire avec les autres détenus administratifs. Dans ces conditions, il ne saurait être retenu que les modalités de la détention administrative de M. A______ ne seraient pas conforme à l'art. 81 LEI, au concordat sur l’exécution de la détention administrative à l’égard des étrangers du 4 juillet 1996 (CEDA -</w:t>
      </w:r>
    </w:p>
    <w:p>
      <w:r>
        <w:t>- 13/14 - A/49/2022 F 2 12), l'exposeraient à des conditions dégradantes ou dangereuses pour sa santé ou contreviendraient au droit à la vie garantie par l'art. 2 par. 1 CEDH et à l'interdiction de la torture, des traitements inhumains ou dégradants garantie par l'art. 3 CEDH, notamment.</w:t>
      </w:r>
    </w:p>
    <w:p>
      <w:r>
        <w:rPr>
          <w:b/>
        </w:rPr>
        <w:t>E. 13</w:t>
      </w:r>
    </w:p>
    <w:p>
      <w:r>
        <w:t>Au vu de ce qui précède, la demande de prolongation de la détention administrative pour insoumission de M. A______ sera admise pour une durée de deux mois, soit jusqu'au 25 mars 2022.</w:t>
      </w:r>
    </w:p>
    <w:p>
      <w:r>
        <w:rPr>
          <w:b/>
        </w:rPr>
        <w:t>E. 14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- 14/14 - A/49/2022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