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JTAPI/419/2025 vom 16. April 2025</w:t>
      </w:r>
    </w:p>
    <w:p>
      <w:r>
        <w:t>GE Cour de justice, 2025-04-16, FR</w:t>
      </w:r>
    </w:p>
    <w:p>
      <w:r>
        <w:rPr>
          <w:b/>
        </w:rPr>
        <w:t xml:space="preserve">Quelle: </w:t>
      </w:r>
      <w:r>
        <w:t>https://mcp.opencaselaw.ch/entscheid/ge_gerichte_JTAPI_419_2025</w:t>
      </w:r>
    </w:p>
    <w:p>
      <w:r>
        <w:t>FR: GE_GERICHTE JTAPI/419/2025 du 16 avril 2025</w:t>
      </w:r>
    </w:p>
    <w:p>
      <w:r>
        <w:t>IT: GE_GERICHTE JTAPI/419/2025 del 16 aprile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w:t>
      </w:r>
    </w:p>
    <w:p>
      <w:r>
        <w:t>- 8/11 - A/1309/2025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le 26 mars 2025 correspondent à la notion de violences domestiques au sens défini par la loi. Il semble toutefois qu’il y ait de la violence de part et d’autre lors de l’altercation du 25 mars dernier. La question n'était pas de savoir lequel des intéressés était plus responsable que l'autre de la situation, ce qui était bien souvent impossible à établir. L'essentiel était de séparer les intéressés en étant au moins à peu près certain que</w:t>
      </w:r>
    </w:p>
    <w:p>
      <w:r>
        <w:t>- 9/11 - A/1309/2025 celui qui était éloigné était lui aussi l'auteur de violences, lesquelles pouvaient également être psychologiques, ce que la mesure d’éloignement a permis. Mme A______ indique craindre de la part de M. D______ des pressions psychologiques et qu’il la fasse culpabiliser des démarches qu’elle a entreprises, soit la mesure d’éloignement et la procédure pénale en cours ouverte suite à son dépôt d’une plainte pénale. Elle souhaite également que M. D______ cesse de publier des textes mélancoliques et des photos de sa fille sur les réseaux sociaux. Le tribunal relèvera tout d’abord que le couple n’a jamais habité ensemble, chacun ayant son propre appartement et que, selon leurs propos concordants, ils ont chacun récupéré les clés de leur propre appartement, à l’exception d’Airpods appartenant à Mme A______ se trouvant chez M. D______, ils n’avaient aucune affaire à récupérer ou à partager. Ils n’ont dès lors aucune raison ni obligation de se rencontrer. M. D______ a pris contact avec l’association VIRES comme la loi l’y oblige et a totalement respecté la mesure, n’ayant pas tenté d’entrer en contact ni avec Mme A______ ni avec les enfants de cette dernière. Par contre, Mme A______ a reconnu avoir envoyé deux sms et appelé à quatre reprises M. D______ depuis le prononcé de la mesure, ce qu’elle reconnaît comme étant une erreur. Lors de l’audience M. D______ a clairement indiqué n’avoir aucune intention de reprendre contact avec Mme A______, estimant que leur couple était terminé. Il s’est engagé à éviter de publier des photos de l’enfant de Mme A______, ayant toutefois expliqué que ses publications l’aidaient à surmonter les moments difficiles qu’il traversait suite à sa séparation et n’étaient pas directement destinées à Mme A______. La mesure prononcée n’interdit aucunement à M. D______ de publier des textes mélancoliques et la photo, floutée, de la fille de Mme A______ sur les réseaux sociaux – ces publications ne pouvant être considérées comme un contact direct prohibé par la mesure d’éloignement - et il appartient à Mme A______ de ne plus suivre M. D______ sur les réseaux sociaux si elle estime que ses publications pourraient lui faire ressentir une pression psychologique.</w:t>
      </w:r>
    </w:p>
    <w:p>
      <w:r>
        <w:rPr>
          <w:b/>
        </w:rPr>
        <w:t>E. 5</w:t>
      </w:r>
    </w:p>
    <w:p>
      <w:r>
        <w:t>Au vu de ce qui précède, le tribunal ne peut, en l'état, retenir un risque suffisamment concret de réitération des violences domestiques qui justifierait une prolongation de la mesure, Mme A______ ayant la possibilité de s’éloigner des éventuelles pressions psychologiques qu’elle pourrait ressentir en se coupant des réseaux sociaux dans lesquels M. D______ pourrait être actif. Le tribunal rappellera à cet égard que la prolongation de la mesure d’éloignement ne peut être envisagée que sous l’angle de la prévention de violences domestiques et n’a pas pour vocation de se substituer à des mesures prises, par exemple, sur le plan pénal dans le cadre de la procédure ouverte suite au dépôt d’une plainte pénale.</w:t>
      </w:r>
    </w:p>
    <w:p>
      <w:r>
        <w:t>- 10/11 - A/1309/2025</w:t>
      </w:r>
    </w:p>
    <w:p>
      <w:r>
        <w:rPr>
          <w:b/>
        </w:rPr>
        <w:t>E. 6</w:t>
      </w:r>
    </w:p>
    <w:p>
      <w:r>
        <w:t>Il résulte de ce qui précède que la demande de prolongation sera rejetée et la mesure d'éloignement prendra effectivement fin le 16 avril 2025 à 17h00.</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A/1309/2025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