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JTAPI/418/2025 vom 14. April 2025</w:t>
      </w:r>
    </w:p>
    <w:p>
      <w:r>
        <w:t>GE Cour de justice, 2025-04-14, FR</w:t>
      </w:r>
    </w:p>
    <w:p>
      <w:r>
        <w:rPr>
          <w:b/>
        </w:rPr>
        <w:t xml:space="preserve">Quelle: </w:t>
      </w:r>
      <w:r>
        <w:t>https://mcp.opencaselaw.ch/entscheid/ge_gerichte_JTAPI_418_2025</w:t>
      </w:r>
    </w:p>
    <w:p>
      <w:r>
        <w:t>FR: GE_GERICHTE JTAPI/418/2025 du 14 avril 2025</w:t>
      </w:r>
    </w:p>
    <w:p>
      <w:r>
        <w:t>IT: GE_GERICHTE JTAPI/418/2025 del 14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de première instance connaît des recours dirigés, comme en l’espèce, contre les décisions sur réclamation de l’administration fiscale cantonale (art. 115 al. 2 et 116 al. 1 de la loi sur l’organisation judiciaire du 26 septembre 2010 - LOJ - E 2 05 ; art. 49 de la loi de procédure fiscale du 4 octobre 2001 - LPFisc - D 3 17 ; art. 140 de la loi fédérale sur l’impôt fédéral direct du 14 décembre 1990 - LIFD - RS 642.11).</w:t>
      </w:r>
    </w:p>
    <w:p>
      <w:r>
        <w:rPr>
          <w:b/>
        </w:rPr>
        <w:t>E. 2</w:t>
      </w:r>
    </w:p>
    <w:p>
      <w:r>
        <w:t>De jurisprudence constante, la signature olographe originale est une condition nécessaire que doit respecter tout acte pour être considéré comme un recours (ATA/351/2015 du 14 mai 2015 ; ATA/9/2014 du 7 janvier 2014 ; ATA/12/2006 du 10 janvier 2006 et les références citées)</w:t>
      </w:r>
    </w:p>
    <w:p>
      <w:r>
        <w:rPr>
          <w:b/>
        </w:rPr>
        <w:t>E. 3</w:t>
      </w:r>
    </w:p>
    <w:p>
      <w:r>
        <w:t>En l’espèce, le recours, expédié le 28 janvier 2025, ne comportait pas la signature des recourants.</w:t>
      </w:r>
    </w:p>
    <w:p>
      <w:r>
        <w:rPr>
          <w:b/>
        </w:rPr>
        <w:t>E. 4</w:t>
      </w:r>
    </w:p>
    <w:p>
      <w:r>
        <w:t>Par courrier recommandé du 3 février 2025, valablement acheminé, le tribunal a invité les recourants à lui remettre un exemplaire du recours muni de leur signature manuscrite originale d’ici au 6 mars 2025, sous peine d’irrecevabilité. Par pli du 28 février 2025, les recourants ont communiqué au tribunal un exemplaire de leur recours ne comportant qu’une copie de leurs signatures.</w:t>
      </w:r>
    </w:p>
    <w:p>
      <w:r>
        <w:t>- 3/4 - A/289/2025</w:t>
      </w:r>
    </w:p>
    <w:p>
      <w:r>
        <w:rPr>
          <w:b/>
        </w:rPr>
        <w:t>E. 5</w:t>
      </w:r>
    </w:p>
    <w:p>
      <w:r>
        <w:t>Partant, le recours, formellement vicié faute de comporter une signature olographe, est irrecevable, ce que le tribunal peut constater à ce stade.</w:t>
      </w:r>
    </w:p>
    <w:p>
      <w:r>
        <w:rPr>
          <w:b/>
        </w:rPr>
        <w:t>E. 6</w:t>
      </w:r>
    </w:p>
    <w:p>
      <w:r>
        <w:t>Vu l’issue du recours, un émolument de CHF 250.- sera mis à la charge des recourants (art. 87 al. 1 LPA et 1 et 2 du règlement sur les frais, émoluments et indemnités en procédure administrative du 30 juillet 1986 - RFPA - E 5 10.03).</w:t>
      </w:r>
    </w:p>
    <w:p>
      <w:r>
        <w:t>- 4/4 - A/289/2025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