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JTAPI/418/2023 vom 6. September 2016</w:t>
      </w:r>
    </w:p>
    <w:p>
      <w:r>
        <w:t>GE Cour de justice, 2016-09-06, FR</w:t>
      </w:r>
    </w:p>
    <w:p>
      <w:r>
        <w:rPr>
          <w:b/>
        </w:rPr>
        <w:t xml:space="preserve">Quelle: </w:t>
      </w:r>
      <w:r>
        <w:t>https://mcp.opencaselaw.ch/entscheid/ge_gerichte_JTAPI_418_2023</w:t>
      </w:r>
    </w:p>
    <w:p>
      <w:r>
        <w:t>FR: GE_GERICHTE JTAPI/418/2023 du 6 septembre 2016</w:t>
      </w:r>
    </w:p>
    <w:p>
      <w:r>
        <w:t>IT: GE_GERICHTE JTAPI/418/2023 del 6 settembre 2016</w:t>
      </w:r>
    </w:p>
    <w:p>
      <w:pPr>
        <w:pStyle w:val="Heading2"/>
      </w:pPr>
      <w:r>
        <w:t>Erwägungen</w:t>
      </w:r>
    </w:p>
    <w:p>
      <w:r>
        <w:rPr>
          <w:b/>
        </w:rPr>
        <w:t>E. 15</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w:t>
      </w:r>
    </w:p>
    <w:p>
      <w:r>
        <w:rPr>
          <w:b/>
        </w:rPr>
        <w:t>E. 16</w:t>
      </w:r>
    </w:p>
    <w:p>
      <w:r>
        <w:t>Le renvoi constitue la conséquence logique et inéluctable du rejet d'une demande tendant à la délivrance ou la prolongation d'une autorisation de séjour, l'autorité ne disposant à ce titre d'aucun pouvoir d'appréciation (ATA/1118/2020 du 10 novembre 2020 consid. 11a).</w:t>
      </w:r>
    </w:p>
    <w:p>
      <w:r>
        <w:t>- 12/13 - A/4015/2022 Le renvoi d'un étranger ne peut toutefois être ordonné que si l'exécution de celui- ci est possible, licite ou peut être raisonnablement exigée (art. 83 al. 1 LEI).</w:t>
      </w:r>
    </w:p>
    <w:p>
      <w:r>
        <w:rPr>
          <w:b/>
        </w:rPr>
        <w:t>E. 17</w:t>
      </w:r>
    </w:p>
    <w:p>
      <w:r>
        <w:t>L’exécution du renvoi n’est pas licite lorsqu’elle serait contraire aux engagements internationaux de la Suisse. Cette disposition vise notamment l’étranger pouvant démontrer qu’il serait exposé à un traitement prohibé par les art. 3 de la Convention de sauvegarde des droits de l’homme et des libertés fondamentales du 4 novembre 1950 (CEDH - RS 0.101) ou 3 de la Convention contre la torture et autres peines ou traitements cruels, inhumains ou dégradants du 10 décembre 1984 (Conv. torture - RS 0.105 ; ATA/1004/2021 du 28 septembre 2021 consid. 4a), dispositions conventionnelles qui ont la même portée que les art. 10 al. 3 et 25 al. 3 Cst. (ATF 139 II 65 consid. 5.4 ; arrêt du Tribunal fédéral 2D_55/2015 du 9 mai 2016 consid. 4.1).</w:t>
      </w:r>
    </w:p>
    <w:p>
      <w:r>
        <w:rPr>
          <w:b/>
        </w:rPr>
        <w:t>E. 18</w:t>
      </w:r>
    </w:p>
    <w:p>
      <w:r>
        <w:t>En l'espèce, dès lors que l'autorisation de séjour sollicitée par la recourante lui a été refusée, l'OCPM devait ordonner son renvoi de Suisse en application de l'art. 64 al. 1 let. c LEI, aucun élément ne laissant pour le surplus supposer que l'exécution de cette mesure ne serait pas possible, pas licite ou qu'elle ne pourrait être raisonnablement exigée (art. 83 LEI), la recourante ne démontrant nullement que l’exécution de son renvoi à destination de l’Equateur serait contraire aux engagements de la Suisse relevant du droit international.</w:t>
      </w:r>
    </w:p>
    <w:p>
      <w:r>
        <w:rPr>
          <w:b/>
        </w:rPr>
        <w:t>E. 19</w:t>
      </w:r>
    </w:p>
    <w:p>
      <w:r>
        <w:t>Compte tenu de ce qui précède, le recours, mal fondé, sera rejeté.</w:t>
      </w:r>
    </w:p>
    <w:p>
      <w:r>
        <w:rPr>
          <w:b/>
        </w:rPr>
        <w:t>E. 20</w:t>
      </w:r>
    </w:p>
    <w:p>
      <w:r>
        <w:t>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 Vu l’issue du litige, aucune indemnité de procédure ne sera allouée (art. 87 al. 2 LPA).</w:t>
      </w:r>
    </w:p>
    <w:p>
      <w:r>
        <w:rPr>
          <w:b/>
        </w:rPr>
        <w:t>E. 21</w:t>
      </w:r>
    </w:p>
    <w:p>
      <w:r>
        <w:t>En vertu des art. 89 al. 2 et 111 al. 2 de la loi sur le Tribunal fédéral du 17 juin 2005 (LTF - RS 173.110), le présent jugement sera communiqué au secrétariat d'État aux migrations.</w:t>
      </w:r>
    </w:p>
    <w:p>
      <w:r>
        <w:t>- 13/13 - A/4015/2022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