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JTAPI/416/2024 vom 3. Mai 2024</w:t>
      </w:r>
    </w:p>
    <w:p>
      <w:r>
        <w:t>GE Cour de justice, 2024-05-03, FR</w:t>
      </w:r>
    </w:p>
    <w:p>
      <w:r>
        <w:rPr>
          <w:b/>
        </w:rPr>
        <w:t xml:space="preserve">Quelle: </w:t>
      </w:r>
      <w:r>
        <w:t>https://mcp.opencaselaw.ch/entscheid/ge_gerichte_JTAPI_416_2024</w:t>
      </w:r>
    </w:p>
    <w:p>
      <w:r>
        <w:t>FR: GE_GERICHTE JTAPI/416/2024 du 3 mai 2024</w:t>
      </w:r>
    </w:p>
    <w:p>
      <w:r>
        <w:t>IT: GE_GERICHTE JTAPI/416/2024 del 3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w:t>
      </w:r>
    </w:p>
    <w:p>
      <w:r>
        <w:rPr>
          <w:b/>
        </w:rPr>
        <w:t>E. 2</w:t>
      </w:r>
    </w:p>
    <w:p>
      <w:r>
        <w:t>Il doit y procéder dans les nonante-six heures qui suivent l'ordre de mise en détention (art. 80 al. 2 LEI ; 9 al. 3 LaLEtr).</w:t>
      </w:r>
    </w:p>
    <w:p>
      <w:r>
        <w:rPr>
          <w:b/>
        </w:rPr>
        <w:t>E. 2.1</w:t>
      </w:r>
    </w:p>
    <w:p>
      <w:r>
        <w:t>; arrêts du Tribunal fédéral 2C_188/2020 du 15 avril 2020 consid. 7.1 ; 2C_984/2013 du 14 novembre 2013 consid. 3.1 ; 2C_26/2013 du 29 janvier 2013 consid. 3.1).</w:t>
      </w:r>
    </w:p>
    <w:p>
      <w:r>
        <w:rPr>
          <w:b/>
        </w:rPr>
        <w:t>E. 3</w:t>
      </w:r>
    </w:p>
    <w:p>
      <w:r>
        <w:t>En l'espèce, le tribunal a été valablement saisi et respecte le délai précité en statuant ce jour, la détention administrative ayant débuté le 30 avril 2024 à 14h30.</w:t>
      </w:r>
    </w:p>
    <w:p>
      <w:r>
        <w:t>- 10/13 - A/1445/2024</w:t>
      </w:r>
    </w:p>
    <w:p>
      <w:r>
        <w:rPr>
          <w:b/>
        </w:rPr>
        <w:t>E. 4</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5</w:t>
      </w:r>
    </w:p>
    <w:p>
      <w:r>
        <w:t>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w:t>
      </w:r>
    </w:p>
    <w:p>
      <w:r>
        <w:rPr>
          <w:b/>
        </w:rPr>
        <w:t>E. 6</w:t>
      </w:r>
    </w:p>
    <w:p>
      <w:r>
        <w:t>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w:t>
      </w:r>
    </w:p>
    <w:p>
      <w:r>
        <w:rPr>
          <w:b/>
        </w:rPr>
        <w:t>E. 7</w:t>
      </w:r>
    </w:p>
    <w:p>
      <w:r>
        <w:t>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 La détention pour insoumission apparaît ainsi comme une ultima ratio, dans la mesure où il n'existe plus d'autres mesures permettant d'aboutir à ce que l'étranger présent illégalement en Suisse puisse être renvoyé dans son pays (ATF 140 II 409 consid.</w:t>
      </w:r>
    </w:p>
    <w:p>
      <w:r>
        <w:rPr>
          <w:b/>
        </w:rPr>
        <w:t>E. 7.2</w:t>
      </w:r>
    </w:p>
    <w:p>
      <w:r>
        <w:t>;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w:t>
      </w:r>
    </w:p>
    <w:p>
      <w:r>
        <w:rPr>
          <w:b/>
        </w:rPr>
        <w:t>E. 8</w:t>
      </w:r>
    </w:p>
    <w:p>
      <w:r>
        <w:t>Conformément aux conditions fixées à l'art. 78 al. 1 LEI, il faut, pour qu'une telle détention soit ordonnée, qu'une décision de renvoi ou d'expulsion soit entrée en force, que la personne concernée ne s'y soit pas conformée dans le délai imparti et</w:t>
      </w:r>
    </w:p>
    <w:p>
      <w:r>
        <w:t>- 11/13 - A/1445/2024 que l'exécution de celle-ci échoue en raison du comportement reprochable de l'intéressé (cf. not. arrêts du Tribunal fédéral 2C_188/2020 du 15 avril 2020 consid.</w:t>
      </w:r>
    </w:p>
    <w:p>
      <w:r>
        <w:rPr>
          <w:b/>
        </w:rPr>
        <w:t>E. 9</w:t>
      </w:r>
    </w:p>
    <w:p>
      <w:r>
        <w:t>A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w:t>
      </w:r>
    </w:p>
    <w:p>
      <w:r>
        <w:rPr>
          <w:b/>
        </w:rPr>
        <w:t>E. 10</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2.3).Aux termes de l'art. 79 al. 1 et al. 2 let. a LEI, si la personne concernée ne coopère pas avec l'autorité compétente, la durée maximale de la détention, qui comprend notamment la détention en vue du renvoi et la détention pour insoumission, ne peut excéder au total 18 mois.</w:t>
      </w:r>
    </w:p>
    <w:p>
      <w:r>
        <w:rPr>
          <w:b/>
        </w:rPr>
        <w:t>E. 11</w:t>
      </w:r>
    </w:p>
    <w:p>
      <w:r>
        <w:t>En l'espèce, un ordre de mise en détention administrative en vue de renvoi a été prononcé à l’encontre de M. A______ le 28 juin 2023. Le 21 août 2023, au vu du comportement de l’intéressé, un nouvel ordre de mise en détention, cette fois-ci pour insoumission a été pris à son encontre. Sa détention administrative a été levée le 12 mars 2024 afin de lui permettre de purger une peine privative de liberté de 49 jours. A la fin de cette détention, le 30 avril 2024, un nouvel ordre de mise en détention administrative pour insoumission a été prononcé son encontre. Le tribunal a contrôlé la légalité et l’adéquation de la détention pour insoumission de M. A______ lors du prononcé de cette mesure le 21 août 2023 et les a confirmés</w:t>
      </w:r>
    </w:p>
    <w:p>
      <w:r>
        <w:t>- 12/13 - A/1445/2024 dans le cadre des demandes de prolongation. Dans la mesure où la situation de M. A______ est inchangée, il peut être sans autre renvoyé à l’analyse des motifs de détention qui a été faite par le tribunal dans son jugement du 23 août 2023 (JTAPI/895/2023), confirmé ultérieurement à plusieurs reprises, la dernière fois le</w:t>
      </w:r>
    </w:p>
    <w:p>
      <w:r>
        <w:rPr>
          <w:b/>
        </w:rPr>
        <w:t>E. 16</w:t>
      </w:r>
    </w:p>
    <w:p>
      <w:r>
        <w:t>janvier 2024 dans son jugement (JTAPI/30/2024). Concernant la proportionnalité de la mesure, force est de constater, une fois encore, que l’intéressé s’oppose toujours fermement à son renvoi en Algérie et a encore déclaré ce jour en audience ne pas être disposé à entreprendre des démarches auprès des autorités algériennes en vue d’obtenir un laissez-passer, ni partir volontairement. Sa situation familiale ne s’est pas non plus modifiée depuis le mois de janvier 2024. Par ailleurs, l'intérêt public à son renvoi de Suisse continue de justifier sa privation de liberté et aucune autre mesure moins incisive ne serait envisageable pour l'amener à modifier son comportement. En particulier, une assignation à résidence ne pourrait qu'échouer puisque l'intéressé a clairement affirmé qu'il ne retournerait pas en Algérie et qu'il n'entendait pas collaborer à son renvoi. Au vu de ces éléments et de son opposition à son refoulement lors des deux vols qui lui ont été réservés, il est manifeste qu'il ne se présenterait pas spontanément auprès des autorités si une place sur un vol de ligne lui était réservé. Enfin, il pourrait décider de lui-même qu'il soit mis un terme à sa détention, en acceptant de retourner en Algérie. Le fait que M. A______ indique qu’il ne changera jamais d’avis ne rend par ailleurs pas pour autant l’ordre de mise en détention disproportionné, lequel a justement pour but de le pousser à changer de comportement. Enfin, les autorités suisses ont entrepris toutes les démarches envisageables et, actuellement, seule une intervention de M. A______ auprès des autorités algériennes semble être en mesure de débloquer la situation, étant rappelé que les vols spéciaux à destination de l'Algérie n'existent pas et que la collaboration de l'intéressé est indispensable à son renvoi. Pour terminer, la période de détention d'un mois décidée par le commissaire de police respecte le cadre légal fixé par l'art. 78 al. 2 1ère phr. LEI et la durée totale de la détention - de 18 mois - prévue par la loi n'est pas atteinte. 12. Au vu de ce qui précède, il y a lieu de confirmer l'ordre de mise en détention administrative pour insoumission de M. A______ pour une durée d’un mois. 13.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- 13/13 - A/1445/2024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