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JTAPI/411/2024 vom 21. April 2024</w:t>
      </w:r>
    </w:p>
    <w:p>
      <w:r>
        <w:t>GE Cour de justice, 2024-04-21, FR</w:t>
      </w:r>
    </w:p>
    <w:p>
      <w:r>
        <w:rPr>
          <w:b/>
        </w:rPr>
        <w:t xml:space="preserve">Quelle: </w:t>
      </w:r>
      <w:r>
        <w:t>https://mcp.opencaselaw.ch/entscheid/ge_gerichte_JTAPI_411_2024</w:t>
      </w:r>
    </w:p>
    <w:p>
      <w:r>
        <w:t>FR: GE_GERICHTE JTAPI/411/2024 du 21 avril 2024</w:t>
      </w:r>
    </w:p>
    <w:p>
      <w:r>
        <w:t>IT: GE_GERICHTE JTAPI/411/2024 del 21 aprile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w:t>
      </w:r>
    </w:p>
    <w:p>
      <w:r>
        <w:t>- 5/7 - A/1412/2024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vu les déclarations des parties, partiellement concordantes, celles de C______ et les constations médicales du 21 avril 2024, il est indéniable que Mme A______ a subi des violences physiques et psychiques de la part de son époux et que les enfants y ont assistés. La tension entre les époux est palpable et il apparaît hautement vraisemblable que si M. B______ devait retourner au domicile conjugal, celles-ci exposeraient Mme A______ à un risque de réitération de violences. Dans ces circonstances, la perspective que les époux se retrouvent immédiatement sous</w:t>
      </w:r>
    </w:p>
    <w:p>
      <w:r>
        <w:t>- 6/7 - A/1412/2024 le même toit apparaît inopportune, quand bien même il est évident qu'une mesure d'éloignement administrative ne permettra pas, à elle seule, de régler la situation.</w:t>
      </w:r>
    </w:p>
    <w:p>
      <w:r>
        <w:rPr>
          <w:b/>
        </w:rPr>
        <w:t>E. 5</w:t>
      </w:r>
    </w:p>
    <w:p>
      <w:r>
        <w:t>Par contre et dans la mesure où les enfants ne sont pas directement concernés par les agissements de M. B______ et qu'il y a lieu de favoriser leurs liens avec lui, l'interdiction de contact à leur égard sera levée. En effet, si leurs parents ne vivent plus sous le même toit et ne se côtoient plus, il apparaît vraisemblable qu'ils ne seraient plus victimes indirects de la situation parentale.</w:t>
      </w:r>
    </w:p>
    <w:p>
      <w:r>
        <w:rPr>
          <w:b/>
        </w:rPr>
        <w:t>E. 6</w:t>
      </w:r>
    </w:p>
    <w:p>
      <w:r>
        <w:t>Par conséquent, la demande de prolongation sera partiellement admise et l'interdiction faite à M. B______ de contacter les enfants mineurs C______ et D______, du CO F______, 2______ G______ à H______ et de l'école I______, 3______ J______, de contacter ou de s'approcher de ces derniers, levée. La mesure d'éloignement d'une durée de onze jours prononcée à l'encontre de M. B______ lui interdisant de s'approcher ou de pénétrer à l'adresse privée de Mme A______ sise, 1______ E______, sera prolongée pour une durée de trente jours, soit jusqu'au 1er juin 2024 à 17h00.</w:t>
      </w:r>
    </w:p>
    <w:p>
      <w:r>
        <w:rPr>
          <w:b/>
        </w:rPr>
        <w:t>E. 7</w:t>
      </w:r>
    </w:p>
    <w:p>
      <w:r>
        <w:t>Il ne sera pas perçu d'émolument (art. 87 al. 1 LPA).</w:t>
      </w:r>
    </w:p>
    <w:p>
      <w:r>
        <w:rPr>
          <w:b/>
        </w:rPr>
        <w:t>E. 8</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A/1412/2024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