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JTAPI/410/2024 vom 30. April 2024</w:t>
      </w:r>
    </w:p>
    <w:p>
      <w:r>
        <w:t>GE Cour de justice, 2024-04-30, FR</w:t>
      </w:r>
    </w:p>
    <w:p>
      <w:r>
        <w:rPr>
          <w:b/>
        </w:rPr>
        <w:t xml:space="preserve">Quelle: </w:t>
      </w:r>
      <w:r>
        <w:t>https://mcp.opencaselaw.ch/entscheid/ge_gerichte_JTAPI_410_2024</w:t>
      </w:r>
    </w:p>
    <w:p>
      <w:r>
        <w:t>FR: GE_GERICHTE JTAPI/410/2024 du 30 avril 2024</w:t>
      </w:r>
    </w:p>
    <w:p>
      <w:r>
        <w:t>IT: GE_GERICHTE JTAPI/410/2024 del 30 aprile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5</w:t>
      </w:r>
    </w:p>
    <w:p>
      <w:r>
        <w:t>Conformément à l'art. 74 al. 2 LEI, la compétence d'ordonner ces mesures incombe au canton qui exécute le renvoi ou l'expulsion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w:t>
      </w:r>
    </w:p>
    <w:p>
      <w:r>
        <w:t>- 4/7 - A/1243/2024</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10</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11</w:t>
      </w:r>
    </w:p>
    <w:p>
      <w:r>
        <w:t>La jurisprudence considère qu'une condamnation pénale n'a pas besoin d'être définitive pour fonder au moins l'existence de soupçons d'une infraction, lesquels sont suffisants dans le cadre de l'application de l'art. 74 LEI.</w:t>
      </w:r>
    </w:p>
    <w:p>
      <w:r>
        <w:t>- 5/7 - A/1243/2024</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w:t>
      </w:r>
    </w:p>
    <w:p>
      <w:r>
        <w:rPr>
          <w:b/>
        </w:rPr>
        <w:t>E. 13</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w:t>
      </w:r>
    </w:p>
    <w:p>
      <w:r>
        <w:rPr>
          <w:b/>
        </w:rPr>
        <w:t>E. 14</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15</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16</w:t>
      </w:r>
    </w:p>
    <w:p>
      <w:r>
        <w:t>En l'espèce, M. A______ n'est pas au bénéfice d'une autorisation de courte durée (art. 32 LEI), de séjour (art. 33 LEI) ou d'établissement (art. 34 LEI). Il est dépourvu de documents d’identité, n’a pas de ressources, ni lieu de résidence et attaches à Genève. Il a au surplus été condamné par le Tribunal de police de Genève pour faux dans les certificats et consommation de stupéfiants et par le Ministère public de Genève pour vol. Peu importe que cette dernière condamnation soit frappée d'opposition dans la mesure où il existe des soupçons suffisants qu'il ait dérobé le téléphone portable dans les locaux de l'association B______ le 11 décembre 2023, eu égard au fait que les forces de l'ordre l'ai retrouvé sur lui lors de son arrestation le 8 avril 2024.</w:t>
      </w:r>
    </w:p>
    <w:p>
      <w:r>
        <w:rPr>
          <w:b/>
        </w:rPr>
        <w:t>E. 17</w:t>
      </w:r>
    </w:p>
    <w:p>
      <w:r>
        <w:t>Dès lors, M. A______ peut effectivement être perçu comme une menace pour l'ordre et la sécurité publics et il apparaît clairement, notamment au vu de sa situation économique précaire qu'il pourrait encore commettre des infractions de même nature que celles pour lesquelles il a été condamné s'il était autorisé à continuer à pouvoir se rendre à Genève. Les conditions d'une mesure d'interdiction de pénétrer dans une région déterminée sont donc remplies.</w:t>
      </w:r>
    </w:p>
    <w:p>
      <w:r>
        <w:rPr>
          <w:b/>
        </w:rPr>
        <w:t>E. 18</w:t>
      </w:r>
    </w:p>
    <w:p>
      <w:r>
        <w:t>La durée de la mesure respecte pleinement le principe de proportionnalité. M. A______ n’a aucune attache avec le canton de Genève et n’y dispose d’aucun</w:t>
      </w:r>
    </w:p>
    <w:p>
      <w:r>
        <w:t>- 6/7 - A/1243/2024 domicile. Il n’a donc aucun intérêt privé à pouvoir s’y rendre. Par ailleurs, il n'a pas hésité à commettre de nouveaux délits sur sol genevois alors qu'il avait déjà fait l'objet d'une mesure d'éloignement, laquelle aurait dû servir de frein à ses agissements, ce qui n'a malheureusement pas été le cas.</w:t>
      </w:r>
    </w:p>
    <w:p>
      <w:r>
        <w:rPr>
          <w:b/>
        </w:rPr>
        <w:t>E. 19</w:t>
      </w:r>
    </w:p>
    <w:p>
      <w:r>
        <w:t>Partant, le tribunal confirmera l'interdiction de pénétrer dans une région déterminée prise à l'encontre de M. A______ pour une durée de douze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- 7/7 - A/1243/2024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