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JTAPI/40/2022 vom 16. Januar 2022</w:t>
      </w:r>
    </w:p>
    <w:p>
      <w:r>
        <w:t>GE Cour de justice, 2022-01-16, FR</w:t>
      </w:r>
    </w:p>
    <w:p>
      <w:r>
        <w:rPr>
          <w:b/>
        </w:rPr>
        <w:t xml:space="preserve">Quelle: </w:t>
      </w:r>
      <w:r>
        <w:t>https://mcp.opencaselaw.ch/entscheid/ge_gerichte_JTAPI_40_2022</w:t>
      </w:r>
    </w:p>
    <w:p>
      <w:r>
        <w:t>FR: GE_GERICHTE JTAPI/40/2022 du 16 janvier 2022</w:t>
      </w:r>
    </w:p>
    <w:p>
      <w:r>
        <w:t>IT: GE_GERICHTE JTAPI/40/2022 del 16 gennaio 2022</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w:t>
      </w:r>
    </w:p>
    <w:p>
      <w:r>
        <w:t>- 7/11 - A/133/2022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clairement du dossier que le couple de M. B______ et de Mme A______ traverse une crise qui s'exprime par une violence verbale d'une certaine importance, ce qui a nécessité déjà trois interventions de la police au domicile familial et a en outre conduit M. B______ à se rendre à une autre reprise au poste de police de F______ afin de s'y plaindre du comportement de son épouse.</w:t>
      </w:r>
    </w:p>
    <w:p>
      <w:r>
        <w:t>- 8/11 - A/133/2022</w:t>
      </w:r>
    </w:p>
    <w:p>
      <w:r>
        <w:rPr>
          <w:b/>
        </w:rPr>
        <w:t>E. 6</w:t>
      </w:r>
    </w:p>
    <w:p>
      <w:r>
        <w:t>Le tribunal a pu se convaincre à l'audience de ce jour du fait que les deux époux ont de la peine à communiquer de manière constructive sur la question difficile de l'allocation et de la gestion de leurs ressources financières. Dès lors, chacun considère être victime de la mauvaise volonté ou des secrets de l'autre.</w:t>
      </w:r>
    </w:p>
    <w:p>
      <w:r>
        <w:rPr>
          <w:b/>
        </w:rPr>
        <w:t>E. 7</w:t>
      </w:r>
    </w:p>
    <w:p>
      <w:r>
        <w:t>Dans la présente procédure, au-delà du constat que chaque époux partage vraisemblablement une part de tort dans le conflit conjugal actuel, il s'agit avant tout d'examiner si c'est à bon escient que le commissaire de police a prononcé une mesure d'éloignement du domicile conjugal à l'encontre de Mme A______ et lui a en outre fait interdiction de contacter ou de s'approcher de son mari et de ses deux enfants.</w:t>
      </w:r>
    </w:p>
    <w:p>
      <w:r>
        <w:rPr>
          <w:b/>
        </w:rPr>
        <w:t>E. 8</w:t>
      </w:r>
    </w:p>
    <w:p>
      <w:r>
        <w:t>S'agissant de la vraisemblance des déclarations faites à la police par M. B______ et par sa fille D______, le tribunal relèvera que les explications données par ces deux personnes se caractérisent par la manière relativement nuancée avec laquelle elles se sont exprimées. Loin de charger Mme A______ de reproches caricaturaux ou d'exagérer sa violence, son mari et sa fille semblent faire clairement la part des choses, comme lorsque le premier évoque le fait que son épouse avait fait mine de lui lancer une pierre, mais y avait cependant renoncé, le fait que son épouse pouvait à nouveau se montrer gentille ou encore qu'elle ne l'avait jamais blessé, ou comme lorsque D______ évoque les violences verbales qu'elle subit de la part de sa mère, tout en précisant qu'elle n'a jamais subi de violences physiques, sauf à une seule reprise. En outre, les déclarations de M. B______ et de sa fille D______ sont émaillées de détails plus ou moins insolites (par exemple l'utilisation d'un rouleau de papier d'essuie-mains à la place d'un couteau) qui sont à l'opposé d'un récit stéréotypé et impersonnel sur la violence domestique. Enfin, on relèvera que la fille de Mme A______ a exprimé par plusieurs SMS, suite à la décision litigieuse, l'attachement qu'elle éprouvait à l'égard de sa mère, ce qui rend d'autant plus plausible les déclarations qu'elle a faites au moment de la crise concernant les violences de cette dernière. De son côté, Mme A______ s'est contentée de nier en bloc les accusations portées contre elle. Si elle évoque de manière explicite le conflit qui l'oppose à son mari sur les questions financières, son discours s'apparente davantage au silence lorsqu'il s'agit de la manière dont ce conflit est susceptible de s'exprimer concrètement, que ce soit verbalement ou par gestes. Elle n'explique pas non plus de manière convaincante les raisons pour lesquelles sa propre fille porterait des accusations précises à son encontre, mais préfère attirer l'attention du tribunal sur les marques d'affection qu'elle a reçue de la part de cette dernière.</w:t>
      </w:r>
    </w:p>
    <w:p>
      <w:r>
        <w:rPr>
          <w:b/>
        </w:rPr>
        <w:t>E. 9</w:t>
      </w:r>
    </w:p>
    <w:p>
      <w:r>
        <w:t>Au vu de ce qui précède, le tribunal considère qu'il existe un faisceau d'éléments suffisants pour retenir que Mme A______ s'est montré verbalement très violente à</w:t>
      </w:r>
    </w:p>
    <w:p>
      <w:r>
        <w:t>- 9/11 - A/133/2022 l'égard de son mari de sa fille le 15 janvier 2022, ces violences atteignant un niveau suffisant pour être appréhendées dans le cadre de la LVD. Sa fille n'a encore que 16 ans, tandis que son mari est aujourd'hui âgé de 71 ans et qu'il est affaibli physiquement, ainsi que le tribunal a pu le constater lors de l'audience. Mme A______ a donc réellement représenté une menace pour son mari et sa fille lors de la dispute du 15 janvier 2022.</w:t>
      </w:r>
    </w:p>
    <w:p>
      <w:r>
        <w:rPr>
          <w:b/>
        </w:rPr>
        <w:t>E. 10</w:t>
      </w:r>
    </w:p>
    <w:p>
      <w:r>
        <w:t>À la question de savoir si l'on peut considérer qu'elle continue à représenter une menace, il convient de répondre de manière nuancée. Comme le tribunal l'a exprimé à l'audience, M. B______ et Mme A______ auraient sans doute besoin de l'aide et des compétences professionnelles d'un tiers, dont la mission serait de les aider à communiquer de manière constructive et apaisée sur leurs difficultés, et les aider à comprendre et reconnaître qu'ils peuvent avoir chacun une part de responsabilité dans la situation actuelle. En outre, la volonté qu'exprimeraient concrètement les deux époux de restaurer une confiance mutuelle seraient pour leurs deux enfants un exemple précieux. En l'état, cette réflexion doit encore se mettre en place et faire son chemin, de sorte qu'un retour immédiat de Mme A______ au domicile conjugal apparaîtrait prématuré et pourrait conduire rapidement à de nouvelles violences. Il est important que la mesure d'éloignement, qui constitue finalement une séparation pour les deux époux, leur permette de prendre la mesure de la situation, de réfléchir et de se calmer. Cela dit, il apparaît que la décision litigieuse ne se justifie pas à l'égard de l'enfant C______, dont rien n'indique d'après le dossier qu'il aurait été victime de violences verbales ou physiques de la part de sa mère. La décision litigieuse n'apparaît plus non plus justifiée à l'égard de l'enfant D______, dont la séparation avec sa mère constitue aujourd'hui une source de culpabilité et de souffrance, et qui souhaite manifestement retrouver au plus vite des contacts avec elle.</w:t>
      </w:r>
    </w:p>
    <w:p>
      <w:r>
        <w:rPr>
          <w:b/>
        </w:rPr>
        <w:t>E. 11</w:t>
      </w:r>
    </w:p>
    <w:p>
      <w:r>
        <w:t>Par conséquent, l'opposition sera partiellement admise en ce sens que la mesure d'éloignement sera annulée dans la mesure où elle fait interdiction à Mme A______ de contacter ou de s'approcher de ses enfants C______ et D______. La mesure d'éloignement sera en revanche confirmée en ce qu'elle fait interdiction à Mme A______, jusqu'au 25 janvier 2022, de s'approcher ou de rentrer au domicile familial, ainsi que de contacter ou de s'approcher de M. B______. À cet égard, il convient encore de préciser que le principe de proportionnalité ne permet pas de réduire la durée de l'éloignement, puisque la loi prévoit une durée minimale de 10 jours (art. 8 al. 3 LVD) et que le tribunal ne peut donc que confirmer ou annuler un éloignement prononcé pour une telle durée.</w:t>
      </w:r>
    </w:p>
    <w:p>
      <w:r>
        <w:rPr>
          <w:b/>
        </w:rPr>
        <w:t>E. 12</w:t>
      </w:r>
    </w:p>
    <w:p>
      <w:r>
        <w:t>Il ne sera pas perçu d'émolument ni alloué d'indemnité de procédure (art. 87 al. 1 et 2 LPA).</w:t>
      </w:r>
    </w:p>
    <w:p>
      <w:r>
        <w:t>- 10/11 - A/133/2022</w:t>
      </w:r>
    </w:p>
    <w:p>
      <w:r>
        <w:rPr>
          <w:b/>
        </w:rPr>
        <w:t>E. 13</w:t>
      </w:r>
    </w:p>
    <w:p>
      <w:r>
        <w:t>Un éventuel recours déposé contre le présent jugement n'aura pas d'effet suspensif (art. 11 al. 1 LVD ; rapport rendu le 1er juin 2010 par la commission judiciaire et de la police chargée d'étudier le PL 10582, p. 17).</w:t>
      </w:r>
    </w:p>
    <w:p>
      <w:r>
        <w:t>- 11/11 - A/133/2022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