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JTAPI/405/2025 vom 10. April 2025</w:t>
      </w:r>
    </w:p>
    <w:p>
      <w:r>
        <w:t>GE Cour de justice, 2025-04-10, FR</w:t>
      </w:r>
    </w:p>
    <w:p>
      <w:r>
        <w:rPr>
          <w:b/>
        </w:rPr>
        <w:t xml:space="preserve">Quelle: </w:t>
      </w:r>
      <w:r>
        <w:t>https://mcp.opencaselaw.ch/entscheid/ge_gerichte_JTAPI_405_2025</w:t>
      </w:r>
    </w:p>
    <w:p>
      <w:r>
        <w:t>FR: GE_GERICHTE JTAPI/405/2025 du 10 avril 2025</w:t>
      </w:r>
    </w:p>
    <w:p>
      <w:r>
        <w:t>IT: GE_GERICHTE JTAPI/405/2025 del 10 aprile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w:t>
      </w:r>
    </w:p>
    <w:p>
      <w:r>
        <w:t>- 6/8 - A/1281/2025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intéressés ont tous deux confirmé la survenance d’une dispute, en raison d’un différend financier, le 10 avril 2024. Leurs déclarations divergent en revanche s’agissant des violences physiques qui auraient été échangées dans ce cadre, Mme B______ expliquant avoir été giflée à deux reprises, ce que M. A______ conteste, et ce dernier indiquant que son épouse lui aurait saisi le col de son t-shirt. Il ressort néanmoins de leurs déclarations qu’ils en sont venu aux mains, ce qui correspond manifestement à la notion de violence domestique. La réalité des comportements que Mme B______ dénonce apparaît pour le surplus crédible étant relevé que l’intéressée avait déjà appelé la police à deux reprises en 2022, pour des faits de violence domestique. Cela étant, lors de l’audience de ce jour, Mme B______ a exprimé de manière calme et posée son absence de crainte de violence en cas de retour de son mari au domicile conjugal et ne pas souhaiter le maintien de son éloignement, ce qu’elle avait déjà formulé lors de son audition par la police. Dans ces conditions, et dès lors que le souhait exprimé par Mme B______ apparait réfléchi, il apparait inopportun aujourd’hui de maintenir la mesure d'éloignement du 10 avril 2025, tout en précisant que cette dernière était, jusqu'ici, parfaitement fondée sous l'angle de la légalité et de la proportionnalité. Cette solution tient également compte de l’intérêt des enfants du couple. Le tribunal invitera toutefois instamment les intéressés, et en particulier M. A______, à réfléchir à la manière de régler sereinement la question de la gestion des finances au sein de leur couple, étant souligné qu’il n’est pas normal que la police ait déjà eu à intervenir à trois reprises au sein du domicile familial pour des faits de violence domestique.</w:t>
      </w:r>
    </w:p>
    <w:p>
      <w:r>
        <w:t>- 7/8 - A/1281/2025 Au vu de ce qui précède, faisant usage de son pouvoir en opportunité (art. 11 al. 3 LVD), le tribunal annulera dès lors la mesure d’éloignement du 10 avril 2025 afin qu'elle cesse de déployer ses effets dès communication du présent jugement, laquelle sera anticipée par courriel électronique de ce jour. L’obligation faite à M. A______ de prendre contact avec l'association VIRES, dans un délai de trois jours ouvrables, afin de convenir d’un entretien socio-thérapeutique et juridique est en revanche maintenue et il appartiendra à ce dernier d’informer immédiatement le tribunal de la date dudit rendez-vous.</w:t>
      </w:r>
    </w:p>
    <w:p>
      <w:r>
        <w:rPr>
          <w:b/>
        </w:rPr>
        <w:t>E. 6</w:t>
      </w:r>
    </w:p>
    <w:p>
      <w:r>
        <w:t>Un éventuel recours déposé contre le présent jugement n'aura pas d'effet suspensif (art. 11 al. 1 LVD ; rapport rendu le 1er juin 2010 par la commission judiciaire et de la police chargée d'étudier le PL 10582, p. 17).</w:t>
      </w:r>
    </w:p>
    <w:p>
      <w:r>
        <w:t>- 8/8 - A/1281/2025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