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JTAPI/403/2024 vom 29. April 2024</w:t>
      </w:r>
    </w:p>
    <w:p>
      <w:r>
        <w:t>GE Cour de justice, 2024-04-29, FR</w:t>
      </w:r>
    </w:p>
    <w:p>
      <w:r>
        <w:rPr>
          <w:b/>
        </w:rPr>
        <w:t xml:space="preserve">Quelle: </w:t>
      </w:r>
      <w:r>
        <w:t>https://mcp.opencaselaw.ch/entscheid/ge_gerichte_JTAPI_403_2024</w:t>
      </w:r>
    </w:p>
    <w:p>
      <w:r>
        <w:t>FR: GE_GERICHTE JTAPI/403/2024 du 29 avril 2024</w:t>
      </w:r>
    </w:p>
    <w:p>
      <w:r>
        <w:t>IT: GE_GERICHTE JTAPI/403/2024 del 29 aprile 2024</w:t>
      </w:r>
    </w:p>
    <w:p>
      <w:pPr>
        <w:pStyle w:val="Heading2"/>
      </w:pPr>
      <w:r>
        <w:t>Erwägungen</w:t>
      </w:r>
    </w:p>
    <w:p>
      <w:r>
        <w:rPr>
          <w:b/>
        </w:rPr>
        <w:t>E. 9</w:t>
      </w:r>
    </w:p>
    <w:p>
      <w:r>
        <w:t>Au commissaire de police, M. A______ a déclaré qu'il était d’accord de retourner en Albanie. Il était en outre d’accord que le Tribunal administratif de première instance renonce à la procédure orale, après que le commissaire de police eut attiré son attention sur la teneur de l’art. 80 al. 3 LEI. Selon le procès-verbal du commissaire de police, la détention administrative pour des motifs de droit des étrangers avait débuté à 14h05.</w:t>
      </w:r>
    </w:p>
    <w:p>
      <w:r>
        <w:rPr>
          <w:b/>
        </w:rPr>
        <w:t>E. 10</w:t>
      </w:r>
    </w:p>
    <w:p>
      <w:r>
        <w:t>Le commissaire de police a soumis cet ordre de mise en détention au Tribunal administratif de première instance (ci-après : le tribunal) le même jour, par courriel, à 14h36, en précisant qu'une place à bord d'un vol de ligne était confirmée pour dimanche 28 avril 2024 à 06h50 au départ de Genève.</w:t>
      </w:r>
    </w:p>
    <w:p>
      <w:r>
        <w:rPr>
          <w:b/>
        </w:rPr>
        <w:t>E. 11</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12</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w:t>
      </w:r>
    </w:p>
    <w:p>
      <w:r>
        <w:t>- 6/10 - A/1384/2024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13</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14</w:t>
      </w:r>
    </w:p>
    <w:p>
      <w:r>
        <w:t>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w:t>
      </w:r>
    </w:p>
    <w:p>
      <w:r>
        <w:rPr>
          <w:b/>
        </w:rPr>
        <w:t>E. 15</w:t>
      </w:r>
    </w:p>
    <w:p>
      <w:r>
        <w:t>Dans cette mesure, le Tribunal fédéral a jugé que la position de la chambre administrative de Cour de justice, qui se fondait sur sa jurisprudence selon laquelle</w:t>
      </w:r>
    </w:p>
    <w:p>
      <w:r>
        <w:t>- 7/10 - A/1384/2024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16</w:t>
      </w:r>
    </w:p>
    <w:p>
      <w:r>
        <w:t>En l'occurrence, le trafic d'héroïne pour lequel a été condamné M. A______ portait certes sur une petite quantité de drogue au sens de la jurisprudence mentionnée ci- dessus. Cela étant, les explications qu'il a données lors de son audition à la police au sujet des circonstances qui l'avait amené à participer au trafic de stupéfiants, paraissent non seulement peu plausibles, mais contiennent des contradictions flagrantes qui conduisent en réalité à retenir qu'il a pu être actif dans le trafic de stupéfiants pendant une période indéterminée avant son arrestation, et qui laissent quoi qu'il en soit peu de doutes sur la facilité avec laquelle il réitérerait son comportement répréhensible. En effet, tout en expliquant d'abord qu'il était venu en Suisse simplement pour faire du tourisme, muni d'une somme relativement faible en regard du coût de la vie dans ce pays, et en contestant avoir vendu de la drogue, il a ensuite admis son activité délictuelle, tout en maintenant que son but initial était uniquement de faire du tourisme, mais en ajoutant à ce moment-là qu'il n'avait accepté la proposition d'une personne rencontrée par hasard dans la rue que pour gagner un peu d'argent qui lui permettrait de venir en aide à sa famille. Or, on comprend très mal qu'une personne, pour qui un gain net de CHF 150.- sur une transaction de drogue serait d'une importance suffisamment grande pour qu'elle accepte de commettre une infraction d'une certaine gravité, s'apprête à dilapider plusieurs centaines de francs en Suisse dans un simple séjour touristique. Par ailleurs, la prétendue rencontre fortuite, dans la rue, d'une personne à qui M. A______ aurait accepté d'acheter trois sachets d'héroïne afin de les revendre sans avoir soi-disant jamais participé à un tel trafic et n'avoir aucune connaissance du fonctionnement de ce type de marché, apparaît hautement invraisemblable.</w:t>
      </w:r>
    </w:p>
    <w:p>
      <w:r>
        <w:rPr>
          <w:b/>
        </w:rPr>
        <w:t>E. 17</w:t>
      </w:r>
    </w:p>
    <w:p>
      <w:r>
        <w:t>Il était donc légitime de la part du Commissaire de police de retenir que M. A______ n'était pas un simple petit dealer occasionnel, mais qu'il appartenait certainement à un réseau organisé et qu'il constituait donc une menace grave pour la vie ou l'intégrité d'autres personnes.</w:t>
      </w:r>
    </w:p>
    <w:p>
      <w:r>
        <w:rPr>
          <w:b/>
        </w:rPr>
        <w:t>E. 18</w:t>
      </w:r>
    </w:p>
    <w:p>
      <w:r>
        <w:t>Par conséquent, quant au principe, les conditions de la détention au sens des dispositions susmentionnées étaient réalisées.</w:t>
      </w:r>
    </w:p>
    <w:p>
      <w:r>
        <w:rPr>
          <w:b/>
        </w:rPr>
        <w:t>E. 19</w:t>
      </w:r>
    </w:p>
    <w:p>
      <w:r>
        <w:t>La détention administrative porte une atteinte grave à la liberté personnelle et ne peut être ordonnée que dans le respect de l’art. 5 par. 1 let. f de la Convention de sauvegarde des droits de l’homme et des libertés fondamentales du 4 novembre</w:t>
      </w:r>
    </w:p>
    <w:p>
      <w:r>
        <w:t>- 8/10 - A/1384/2024 1950 (CEDH - RS 0.101) (ATF 140 II 1 consid. 5.1 ; 135 II 105 consid. 2.2.1 ; arrêt du Tribunal fédéral 2C_237/2013 du 27 mars 2013 consid. 5.1 ; 2C_413/2012 du</w:t>
      </w:r>
    </w:p>
    <w:p>
      <w:r>
        <w:rPr>
          <w:b/>
        </w:rPr>
        <w:t>E. 22</w:t>
      </w:r>
    </w:p>
    <w:p>
      <w:r>
        <w:t>En l'occurrence, il convient tout d'abord de souligner que la détention apparaît comme le seul moyen apte à permettre l'exécution effective du renvoi de M. A______, celui-ci n'ayant à Genève ni attaches ni revenu et ayant fait preuve d'une profonde désinvolture à l'égard de l'ordre juridique. La levée de sa détention l'aurait certainement pu conduire qu'à sa probable disparition et à l'impossibilité d'assurer concrètement son renvoi. Par ailleurs, cet objectif répondait à un intérêt public certain.</w:t>
      </w:r>
    </w:p>
    <w:p>
      <w:r>
        <w:rPr>
          <w:b/>
        </w:rPr>
        <w:t>E. 23</w:t>
      </w:r>
    </w:p>
    <w:p>
      <w:r>
        <w:t>Quant à la durée de sa détention, l'examen judiciaire auquel procède normalement le tribunal à ce sujet n'a, en l'occurrence, assurément plus d'objet, puisque c'est uniquement lorsque cet examen précède la date du renvoi qu'il convient de se demander si la durée de la détention est proportionnée au cas où elle devrait être exécutée.</w:t>
      </w:r>
    </w:p>
    <w:p>
      <w:r>
        <w:rPr>
          <w:b/>
        </w:rPr>
        <w:t>E. 24</w:t>
      </w:r>
    </w:p>
    <w:p>
      <w:r>
        <w:t>Quoi qu'il en soit, s'il avait dû se prononcer à ce sujet, le tribunal aurait retenu que la durée de trois semaines était proportionnée, le Commissaire de police ne pouvant être astreint à renouveler des demandes de prolongation de la détention dans des délais extrêmement brefs, alors qu'il peut être sur le point, parallèlement, d'obtenir l'exécution du renvoi.</w:t>
      </w:r>
    </w:p>
    <w:p>
      <w:r>
        <w:t>- 9/10 - A/1384/2024</w:t>
      </w:r>
    </w:p>
    <w:p>
      <w:r>
        <w:rPr>
          <w:b/>
        </w:rPr>
        <w:t>E. 25</w:t>
      </w:r>
    </w:p>
    <w:p>
      <w:r>
        <w:t>En l'espèce, eu égard à l'ensemble des circonstances, il y a lieu de confirmer a posteriori la légalité de l'ordre de mise en détention administrative prononcé pour une durée de trois semaines.</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A/1384/2024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