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JTAPI/39/2024 vom 19. Januar 2024</w:t>
      </w:r>
    </w:p>
    <w:p>
      <w:r>
        <w:t>GE Cour de justice, 2024-01-19, FR</w:t>
      </w:r>
    </w:p>
    <w:p>
      <w:r>
        <w:rPr>
          <w:b/>
        </w:rPr>
        <w:t xml:space="preserve">Quelle: </w:t>
      </w:r>
      <w:r>
        <w:t>https://mcp.opencaselaw.ch/entscheid/ge_gerichte_JTAPI_39_2024</w:t>
      </w:r>
    </w:p>
    <w:p>
      <w:r>
        <w:t>FR: GE_GERICHTE JTAPI/39/2024 du 19 janvier 2024</w:t>
      </w:r>
    </w:p>
    <w:p>
      <w:r>
        <w:t>IT: GE_GERICHTE JTAPI/39/2024 del 19 gennaio 2024</w:t>
      </w:r>
    </w:p>
    <w:p>
      <w:pPr>
        <w:pStyle w:val="Heading2"/>
      </w:pPr>
      <w:r>
        <w:t>Erwägungen</w:t>
      </w:r>
    </w:p>
    <w:p>
      <w:r>
        <w:rPr>
          <w:b/>
        </w:rPr>
        <w:t>E. 1</w:t>
      </w:r>
    </w:p>
    <w:p>
      <w:r>
        <w:t>Le Tribunal administratif de première instance est, de façon générale, compétent pour procéder à l'examen de la légalité et de l'adéquation de la détention</w:t>
      </w:r>
    </w:p>
    <w:p>
      <w:r>
        <w:t>- 5/9 - A/139/2024 administrative décidée en vue du renvoi (art. 115 al. 2 et 116 al. 1 de la loi sur l'organisation judiciaire du 26 septembre 2010 - LOJ - E 2 05 ; art. 7 al. 4 let. d de la loi d'application de la loi fédérale sur les étrangers du 16 juin 1988 - LaLEtr - F</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w:t>
      </w:r>
    </w:p>
    <w:p>
      <w:r>
        <w:rPr>
          <w:b/>
        </w:rPr>
        <w:t>E. 3</w:t>
      </w:r>
    </w:p>
    <w:p>
      <w:r>
        <w:t>En l'espèce, M. A______ a, sous la plume de son conseil, demandé par acte dûment motivé du 15 janvier 2024 reçu par le tribunal le 16 janvier 2024, que ce dernier contrôle la légalité et l'adéquation de sa détention.</w:t>
      </w:r>
    </w:p>
    <w:p>
      <w:r>
        <w:rPr>
          <w:b/>
        </w:rPr>
        <w:t>E. 4</w:t>
      </w:r>
    </w:p>
    <w:p>
      <w:r>
        <w:t>Le tribunal peut confirmer, réformer ou annuler la décision du commissaire de police ; le cas échéant, il ordonne la mise en liberté de l'étranger (cf.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w:t>
      </w:r>
    </w:p>
    <w:p>
      <w:r>
        <w:t>- 6/9 - A/139/2024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7</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8</w:t>
      </w:r>
    </w:p>
    <w:p>
      <w:r>
        <w:t>Selon l'art. 76a al. 2 LEI, les éléments concrets font craindre que l'étranger entende se soustraire à l'exécution du renvoi s’il menace sérieusement d’autres personnes ou met gravement en danger leur vie ou leur intégrité corporelle et fait l’objet d’une poursuite pénale ou a été condamné pour ce motif (let. g). 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9</w:t>
      </w:r>
    </w:p>
    <w:p>
      <w:r>
        <w:t>Sous l'angle de l'art. 76a al. 2 let. g LEI,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10</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 En présence d'un petit dealer qui n'a été condamné qu'une fois pour un trafic d'une faible quantité de stupéfiants (même de drogues dures), il convient d'examiner l'ensemble des circonstances, afin de former un pronostic sur le risque de réitération. Ce n'est qu'en présence d'indices concrets en ce sens que l'on peut retenir pour l'avenir une grave mise en danger de la vie ou de l'intégrité d'autres personnes, ce qui est la condition à une mise en détention en phase préparatoire au sens de l'art. 75 al. 1 let. g LEtr ».</w:t>
      </w:r>
    </w:p>
    <w:p>
      <w:r>
        <w:t>- 7/9 - A/139/2024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11</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12</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13</w:t>
      </w:r>
    </w:p>
    <w:p>
      <w:r>
        <w:t>En l’espèce, M. A______ a fait l’objet d’une mesure d’expulsion de Suisse prononcée par le TDP le 21 décembre 2023 pour une durée de 5 ans et a été condamné pour trafic de stupéfiants portant sur de la cocaïne, soit une drogue dure, dont il est reconnu qu’il constitue une menace sérieuse pour les autres personnes et une grave mise en danger de leur vie et intégrité corporelle. Par ailleurs, il s’est adonné à ce trafic pendant environ trois semaines après avoir, précédemment, servi de « rabatteur », afin de gagner de l’argent puisqu’il n’avait plus de travail dans la restauration. Il est clair que, s’il n’avait pas été arrêté par la police, il aurait continué son trafic. De plus, en cas de remise en liberté, aucun élément ne permet de retenir que M. A______ quitterait la Suisse selon ses dires</w:t>
      </w:r>
    </w:p>
    <w:p>
      <w:r>
        <w:t>- 8/9 - A/139/2024 pour se rendre auprès de sa compagne enceinte en France – ce souhait n’ayant toutefois jamais été exprimé par M. A______ lors de ses auditions et l’existence de cette compagne enceinte n’est aucunement documentée – étant souligné qu’il n’est pas autorisé à se rendre dans ce pays qui a refusé de le réadmettre sur son territoire. Ainsi, le risque qu’il se soustraie à son renvoi en cas de remise en liberté ne peut être écarté et les conditions pour une détention sont remplies.</w:t>
      </w:r>
    </w:p>
    <w:p>
      <w:r>
        <w:rPr>
          <w:b/>
        </w:rPr>
        <w:t>E. 14</w:t>
      </w:r>
    </w:p>
    <w:p>
      <w:r>
        <w:t>Concernant les démarches entreprises, force est de constater que les autorités ont agi dans le cadre de leurs obligations légales : elles ont dans un premier temps sollicité les autorités françaises, pays dans lequel M. A______ avait déposé une demande d’asile et qu’il a indiqué, lors de son audition par la police le 21 décembre 2023, comme étant l’Etat responsable de sa demande d’asile. Face au refus des autorités françaises du 29 décembre 2023 de le réadmettre du fait qu’il avait été transféré en Espagne le 11 juillet 2017, les autorités genevoises ont discuté avec le SEM par courriels de la suite des démarches à entreprendre le 2 janvier 2024 et ont interpellé les autorités espagnoles le 5 janvier 2024. Les quelques jours de délai entre les différentes démarches ne peuvent être retenus comme un manque de célérité des autorités et demeurent des délais de traitement tout à fait acceptables en période de fin d’année lors desquelles de nombreuses administrations voient leur activité réduite : dès lors, aucune violation de célérité ne peut être retenue. Les autorités espagnoles ont refusé la réadmission de M. A______ le 15 janvier 2024, information qui a été transmises à l’OCPM par courriel du SEM du 18 janvier 2024 à 16h06, puis transmise au tribunal le même jour à 17h50. Face à ce refus de réadmission, il appartient à l’OCPM de déterminer les démarches qu’il entend encore entreprendre dans le cadre de la procédure Dublin, cas échant examiner la question du prononcé d’un nouvel ordre de mise en détention fondée sur les art. 75 al. 1 let. g et 76 al. 1 let. b ch. 1, 3 et 4 LEI comme indiqué dans son dernier courriel, ou si une mise en liberté doit être ordonnée.</w:t>
      </w:r>
    </w:p>
    <w:p>
      <w:r>
        <w:rPr>
          <w:b/>
        </w:rPr>
        <w:t>E. 15</w:t>
      </w:r>
    </w:p>
    <w:p>
      <w:r>
        <w:t>Dès lors, au vu de ce qui précède, il y a dès lors lieu de confirmer l'ordre de mise en détention administrative litigieux pour la durée de sept semaines prévue et refuser la demande de mise en liberté.</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A/139/2024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