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JTAPI/399/2025 vom 16. Januar 2023</w:t>
      </w:r>
    </w:p>
    <w:p>
      <w:r>
        <w:t>GE Cour de justice, 2023-01-16, FR</w:t>
      </w:r>
    </w:p>
    <w:p>
      <w:r>
        <w:rPr>
          <w:b/>
        </w:rPr>
        <w:t xml:space="preserve">Quelle: </w:t>
      </w:r>
      <w:r>
        <w:t>https://mcp.opencaselaw.ch/entscheid/ge_gerichte_JTAPI_399_2025</w:t>
      </w:r>
    </w:p>
    <w:p>
      <w:r>
        <w:t>FR: GE_GERICHTE JTAPI/399/2025 du 16 janvier 2023</w:t>
      </w:r>
    </w:p>
    <w:p>
      <w:r>
        <w:t>IT: GE_GERICHTE JTAPI/399/2025 del 16 gennaio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dans les délais et formes prescrites devant la juridiction compétente, le recours est recevable au sens des art. 60 ss LPA.</w:t>
      </w:r>
    </w:p>
    <w:p>
      <w:r>
        <w:t>- 7/12 - A/2862/2024 Dans cette mesure, la question de savoir si l’OCV aurait dû notifier sa décision du 12 juin 2024 au conseil du recourant et non directement au recourant, souffrira de rester ouverte, étant relevé que la procuration du 30 mai 2023 versée au dossier ne précise pas si le recourant fait ou non élection de domicile en l’étude de son conseil, ce qui semble toutefois ressortir du courrier du même jour dudit conseil.</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w:t>
      </w:r>
    </w:p>
    <w:p>
      <w:r>
        <w:rPr>
          <w:b/>
        </w:rPr>
        <w:t>E. 4</w:t>
      </w:r>
    </w:p>
    <w:p>
      <w:r>
        <w:t>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5</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6</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7</w:t>
      </w:r>
    </w:p>
    <w:p>
      <w:r>
        <w:t>Pour déterminer la durée et s’il y a lieu de prononcer un retrait d’admonestation, la LCR distingue les infractions légères, moyennement graves et graves (art. 16a à 16c LCR).</w:t>
      </w:r>
    </w:p>
    <w:p>
      <w:r>
        <w:rPr>
          <w:b/>
        </w:rPr>
        <w:t>E. 8</w:t>
      </w:r>
    </w:p>
    <w:p>
      <w:r>
        <w:t>En vertu de l’art. 16c al. 1 let. f LCR, commet une infraction grave, sans égard aux circonstances dans lesquelles celle-ci a été commise (cf. arrêt du Tribunal fédéral 1C_414/2019 du 28 août 2019 consid. 2), la personne qui conduit un véhicule automobile alors que le permis de conduire lui a été retiré.</w:t>
      </w:r>
    </w:p>
    <w:p>
      <w:r>
        <w:rPr>
          <w:b/>
        </w:rPr>
        <w:t>E. 9</w:t>
      </w:r>
    </w:p>
    <w:p>
      <w:r>
        <w:t>Commet également une infraction grave, la personne qui, en violant gravement les règles de la circulation, met sérieusement en danger la sécurité d'autrui ou en prend le risque (art. 16c al. 1 let. a LCR).</w:t>
      </w:r>
    </w:p>
    <w:p>
      <w:r>
        <w:t>- 8/12 - A/2862/2024</w:t>
      </w:r>
    </w:p>
    <w:p>
      <w:r>
        <w:rPr>
          <w:b/>
        </w:rPr>
        <w:t>E. 10</w:t>
      </w:r>
    </w:p>
    <w:p>
      <w:r>
        <w:t>Aux termes de l'art. 26 al. 1 LCR, chacun doit se comporter dans la circulation de manière à ne pas gêner ni mettre en danger ceux qui utilisent la route conformément aux règles établies.</w:t>
      </w:r>
    </w:p>
    <w:p>
      <w:r>
        <w:rPr>
          <w:b/>
        </w:rPr>
        <w:t>E. 11</w:t>
      </w:r>
    </w:p>
    <w:p>
      <w:r>
        <w:t>L'art. 34 al. 4 LCR prévoit notamment que le conducteur observera une distance suffisante envers tous les usagers de la route, notamment pour croiser, dépasser et circuler de front ou lorsque des véhicules se suivent.</w:t>
      </w:r>
    </w:p>
    <w:p>
      <w:r>
        <w:rPr>
          <w:b/>
        </w:rPr>
        <w:t>E. 12</w:t>
      </w:r>
    </w:p>
    <w:p>
      <w:r>
        <w:t>Avant de changer de direction, le conducteur manifestera à temps son intention au moyen des indicateurs de direction ou en faisant de la main des signes intelligibles. Cette règle vaut notamment pour dépasser ou faire demi-tour (art. 39 al. 1 let b LCR).</w:t>
      </w:r>
    </w:p>
    <w:p>
      <w:r>
        <w:rPr>
          <w:b/>
        </w:rPr>
        <w:t>E. 13</w:t>
      </w:r>
    </w:p>
    <w:p>
      <w:r>
        <w:t>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w:t>
      </w:r>
    </w:p>
    <w:p>
      <w:r>
        <w:rPr>
          <w:b/>
        </w:rPr>
        <w:t>E. 14</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15</w:t>
      </w:r>
    </w:p>
    <w:p>
      <w:r>
        <w:t>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w:t>
      </w:r>
    </w:p>
    <w:p>
      <w:r>
        <w:rPr>
          <w:b/>
        </w:rPr>
        <w:t>E. 16</w:t>
      </w:r>
    </w:p>
    <w:p>
      <w:r>
        <w:t>Le droit suisse prévoit que l'usage d'un permis étranger peut être interdit en vertu des dispositions qui s'appliquent au retrait du permis de conduire suisse (art. 45 al. 1 OAC ; cf. ATA/390/2018 du 24 avril 2018 consid. 3b).</w:t>
      </w:r>
    </w:p>
    <w:p>
      <w:r>
        <w:rPr>
          <w:b/>
        </w:rPr>
        <w:t>E. 17</w:t>
      </w:r>
    </w:p>
    <w:p>
      <w:r>
        <w:t>Les règles et principes énoncés ci-dessus sont donc applicables mutatis mutandis à l'interdiction de faire usage du permis de conduire étranger, notamment français, sur le territoire suisse.</w:t>
      </w:r>
    </w:p>
    <w:p>
      <w:r>
        <w:t>- 9/12 - A/2862/2024</w:t>
      </w:r>
    </w:p>
    <w:p>
      <w:r>
        <w:rPr>
          <w:b/>
        </w:rPr>
        <w:t>E. 18</w:t>
      </w:r>
    </w:p>
    <w:p>
      <w:r>
        <w:t>En l'espèce, le recourant allègue qu'il ignorait faire l’objet d’une mesure d’interdiction de faire usage de son permis de conduire étranger sur le territoire suisse pour une durée de six mois, valable du 20 mars au 19 septembre 2023, lorsqu’il avait été interpellé le 27 mars 2023. Cette décision avait été notifiée à une ancienne adresse. Il explique faire partie de la communauté des gens du voyage et travailler en Suisse, tout en conservant une adresse postale en France. Pour éviter tout problème de notification, il avait constitué un conseil. Partant, il ne pouvait lui être reproché une conduite malgré la mesure d’interdiction en question, alors qu’il ignorait tout de cette mesure, en raison de problèmes de notification.</w:t>
      </w:r>
    </w:p>
    <w:p>
      <w:r>
        <w:rPr>
          <w:b/>
        </w:rPr>
        <w:t>E. 19</w:t>
      </w:r>
    </w:p>
    <w:p>
      <w:r>
        <w:t>Les décisions sont notifiées aux parties, le cas échéant à leur domicile élu auprès de leur mandataire, par écrit (art. 46 al. 2 LPA).</w:t>
      </w:r>
    </w:p>
    <w:p>
      <w:r>
        <w:rPr>
          <w:b/>
        </w:rPr>
        <w:t>E. 20</w:t>
      </w:r>
    </w:p>
    <w:p>
      <w:r>
        <w:t>La prestation « Courrier A Plus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 La transparence tout au long du processus d'expédition » ; aussi ATF 142 III 599 consid. 2.1).</w:t>
      </w:r>
    </w:p>
    <w:p>
      <w:r>
        <w:rPr>
          <w:b/>
        </w:rPr>
        <w:t>E. 21</w:t>
      </w:r>
    </w:p>
    <w:p>
      <w:r>
        <w:t>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à savoir dans sa boîte aux lettres ou sa case postale. Il n'est pas nécessaire que celui-ci en prenne réellement connaissance ; il suffit qu'il puisse en prendre connaissance (ATA/871/2019 du 7 mai 2019 consid. 3c et les réf.).</w:t>
      </w:r>
    </w:p>
    <w:p>
      <w:r>
        <w:rPr>
          <w:b/>
        </w:rPr>
        <w:t>E. 22</w:t>
      </w:r>
    </w:p>
    <w:p>
      <w:r>
        <w:t>La notification à l'ancienne adresse d'un administré est valablement effectuée lorsque ce dernier s'absente pour un temps prolongé sans faire suivre son courrier, ni donner de nouvelles ou charger un tiers d'agir à sa place (ATF 113 Ib 296 consid. 2a ; arrêt du Tribunal fédéral 2P.259/2006 du 18 avril 2006 consid. 3.1 ; ATA/1335/2015 du 15 décembre 2015).</w:t>
      </w:r>
    </w:p>
    <w:p>
      <w:r>
        <w:rPr>
          <w:b/>
        </w:rPr>
        <w:t>E. 23</w:t>
      </w:r>
    </w:p>
    <w:p>
      <w:r>
        <w:t>A teneur de l'art. 26 al. 2 OAC, lors d'un changement de domicile, le titulaire du permis doit communiquer dans les quatorze jours sa nouvelle adresse à l'autorité compétente au nouveau lieu de domicile. Si le nouveau domicile est à l’étranger, il doit annoncer son départ à l’autorité compétente jusque-là.</w:t>
      </w:r>
    </w:p>
    <w:p>
      <w:r>
        <w:t>- 10/12 - A/2862/2024</w:t>
      </w:r>
    </w:p>
    <w:p>
      <w:r>
        <w:rPr>
          <w:b/>
        </w:rPr>
        <w:t>E. 24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rPr>
          <w:b/>
        </w:rPr>
        <w:t>E. 25</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26</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27</w:t>
      </w:r>
    </w:p>
    <w:p>
      <w:r>
        <w:t>En l'espèce, le recourant ne conteste pas avoir été domicilié c/o B______,1______, route C______, D______, comme cela ressort d’ailleurs expressément de l’attestation du précité qu’il a lui-même versée à la procédure. Il ne conteste pas avoir reçu la décision du 23 décembre 2020 de l’OCV à cette adresse, qui doit ainsi être considérée comme celle enregistrée auprès de l’autorité intimée pour ses communications, à défaut d’indications contraires. Il doit pour le surplus être déduit du courrier du 9 juin 2023 de l’OCV que selon le relevé « Track and Trace » de la poste suisse (qui n’a toutefois pas été versé à la procédure), la décision du 16 janvier 2023 a été valablement notifiée à l'adresse en question. Partant, faute d'avoir informé l’OCV de son changement d’adresse, suite à son déménagement allégué le 1er mars 2022, l’autorité était fondée à lui notifier la décision du 16 janvier 2023 c/o B______, 1______, route C______, D______ et si le recourant n'a pas été atteint, il en porte l'entière responsabilité. Quant à l’adresse J______ SA, rue du E______ 2______, F______ (GE), que le recourant mentionne dans son attestation datée du 10 mai 2023, il ne démontre pas l’avoir communiquée à l’OCV dans les délais prescrits par l’art. 26 al. 2 OAC, ni au demeurant ne précise depuis quand cette adresse serait effective. Dans ces conditions, il y a lieu de considérer que c’est à juste titre que l’OCV a retenu que le recourant ne s’est pas soumis à l'interdiction de faire usage de son</w:t>
      </w:r>
    </w:p>
    <w:p>
      <w:r>
        <w:t>- 11/12 - A/2862/2024 permis de conduire étranger sur le territoire suisse le 27 mai 2023 et que, ce faisant, il a commis une infraction grave (art. 16c al. 1 let. f LCR). A cela s’ajoute qu’il ne s’est pas comporté dans la circulation de manière à ne pas gêner ni mettre en danger ceux qui utilisent la route conformément aux règles établies, en violation de l’art. 26 al. 1 LCR, également retenue par l’OCV dans la décision querellée, en dépassant notamment par la droite ou sans faire usage de ses indicateurs, et en talonnant la voiture le précédent, manquements constatés le 27 mars 2023 par deux policiers assermentés de la brigade mobile vaudoise. Compte tenu des deux antécédents du recourant pour infraction moyennement grave et grave, la mesure prononcée par l’OCV, qui correspond à la durée minimale incompressible prescrite par l’art. 16c al. 2 let. c LCR, soit douze mois, est pour le surplus conforme au droit et à la jurisprudence précités. Liée par cette durée, l’autorité a correctement appliqué la loi et n’a pas excédé ou abusé de son pouvoir d’appréciation. Dès lors, sa décision ne peut être que confirmée.</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- 12/12 - A/2862/2024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