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JTAPI/398/2024 vom 6. Juli 2023</w:t>
      </w:r>
    </w:p>
    <w:p>
      <w:r>
        <w:t>GE Cour de justice, 2023-07-06, FR</w:t>
      </w:r>
    </w:p>
    <w:p>
      <w:r>
        <w:rPr>
          <w:b/>
        </w:rPr>
        <w:t xml:space="preserve">Quelle: </w:t>
      </w:r>
      <w:r>
        <w:t>https://mcp.opencaselaw.ch/entscheid/ge_gerichte_JTAPI_398_2024</w:t>
      </w:r>
    </w:p>
    <w:p>
      <w:r>
        <w:t>FR: GE_GERICHTE JTAPI/398/2024 du 6 juillet 2023</w:t>
      </w:r>
    </w:p>
    <w:p>
      <w:r>
        <w:t>IT: GE_GERICHTE JTAPI/398/2024 del 6 luglio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 des art. 49 LPFisc et 140 LIFD.</w:t>
      </w:r>
    </w:p>
    <w:p>
      <w:r>
        <w:rPr>
          <w:b/>
        </w:rPr>
        <w:t>E. 3</w:t>
      </w:r>
    </w:p>
    <w:p>
      <w:r>
        <w:t>Le contribuable estime que l’administration aurait dû entrer en matière sur sa demande de taxation ordinaire ultérieure, au motif qu’il avait commis une erreur dans l’utilisation de la plateforme E-Démarches.</w:t>
      </w:r>
    </w:p>
    <w:p>
      <w:r>
        <w:t>- 4/6 - A/4254/2023</w:t>
      </w:r>
    </w:p>
    <w:p>
      <w:r>
        <w:rPr>
          <w:b/>
        </w:rPr>
        <w:t>E. 4</w:t>
      </w:r>
    </w:p>
    <w:p>
      <w:r>
        <w:t>Selon l’art. 91 al. 1 LIFD, les frontaliers, les résidents à la semaine et les résidents de courte durée domiciliés à l’étranger qui exercent une activité lucrative dépendante en Suisse sont soumis à l’impôt à la source sur le revenu de leur activité en Suisse, conformément aux art. 84 et 85. Les personnes imposées à la source en vertu de l’art. 91 LIFD peuvent demander, au plus tard le 31 mars de l’année suivant l’année fiscale concernée, une taxation ordinaire ultérieure pour chaque période fiscale dans un des cas suivants a. une part prépondérante de leurs revenus mondiaux, y compris les revenus de leur conjoint, est imposable en Suisse; b. leur situation est comparable à celle d’un contribuable domicilié en Suisse, ou c. une taxation ordinaire ultérieure est nécessaire pour faire valoir leur droit à des déductions prévues par une convention contre les doubles impositions (art. 99a LIFD). Le contribuable peut, jusqu’au 31 mars de l’année fiscale qui suit l’échéance de la prestation, exiger que l’autorité de taxation rende une décision relative à l’existence et l’étendue de l’assujettissement (art. 137 al. 1 LIFD).</w:t>
      </w:r>
    </w:p>
    <w:p>
      <w:r>
        <w:rPr>
          <w:b/>
        </w:rPr>
        <w:t>E. 5</w:t>
      </w:r>
    </w:p>
    <w:p>
      <w:r>
        <w:t>Au niveau cantonal, ce sont les art. 6 al. 1 et 15 LISP, et art. 38E LPFisc, qui s’appliquent.</w:t>
      </w:r>
    </w:p>
    <w:p>
      <w:r>
        <w:rPr>
          <w:b/>
        </w:rPr>
        <w:t>E. 6</w:t>
      </w:r>
    </w:p>
    <w:p>
      <w:r>
        <w:t>Les délais fixés par la loi sont des dispositions impératives de droit public. Ils ne sont en principe pas susceptibles d'être prolongés, restitués ou suspendus, si ce n'est par le législateur lui-même (ATA/286/2020 du 10 mars 2020 ; ATA/1157/2019 du 19 juillet 2019 consid. 2a). Ainsi, celui qui n'agit pas dans le délai prescrit est forclos (cf. ATA/286/2020 du 10 mars 2020 ; ATA/1157/2019 du 19 juillet 2019 consid. 2a).</w:t>
      </w:r>
    </w:p>
    <w:p>
      <w:r>
        <w:rPr>
          <w:b/>
        </w:rPr>
        <w:t>E. 7</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(cf. not. ATF 142 V 152 consid. 4.2 in fine ; 125 V 65 consid. 1 ; ATA/286/2020 du 10 mars 2020).</w:t>
      </w:r>
    </w:p>
    <w:p>
      <w:r>
        <w:rPr>
          <w:b/>
        </w:rPr>
        <w:t>E. 8</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Un surcroît de travail ou une inattention ne constituent pas des motifs de restitution du délai (Yves NOËL/Florence AUBRY GIRARDIN, Commentaire romand, Impôt fédéral direct, 2017, n° 13, p. 1736).</w:t>
      </w:r>
    </w:p>
    <w:p>
      <w:r>
        <w:t>- 5/6 - A/4254/2023 Les cas de force majeure sont également réservés. Tombent sous cette notion les événements extraordinaires et imprévisibles qui surviennent en dehors de la sphère d’activité de l’intéressé et qui s’imposent à lui de façon irrésistible (ATA/599/2023 du 6 juin 2023 consid. 3.3 et les références citées). Pour établir l’existence d’un cas de force majeure, le fardeau de la preuve incombe à l’assujetti (ATA/815/2022 du 17 août 2022 consid. 2).</w:t>
      </w:r>
    </w:p>
    <w:p>
      <w:r>
        <w:rPr>
          <w:b/>
        </w:rPr>
        <w:t>E. 9</w:t>
      </w:r>
    </w:p>
    <w:p>
      <w:r>
        <w:t>En l’espèce, le contribuable, soumis à l’imposition à la source pour l’année 2022, disposait d’un délai au 31 mars 2023 pour demander une taxation ordinaire ultérieure. Selon les pièces du dossier, il n’a pas soumis de demande à l’administration au 31 mars 2023. Il explique avoir eu l’intention de le faire mais avoir commis une erreur en cochant involontairement la case « Demande de rectification de l’imposition à la source » au lieu de « Demande/Annonce de taxation ordinaire ultérieure ». Ce n’est ainsi que dans son courrier du 14 août 2023 que l’administration a eu connaissance de son souhait de bénéficier d’une taxation ordinaire ultérieure. Or, force est de constater que l’erreur dont se prévaut le recourant ne constitue pas un cas d’empêchement retenu par la jurisprudence, le recourant ayant fait preuve d’inattention, ce qui ne lui permet ainsi pas d’obtenir une restitution de délai. C’est donc à juste titre que l’AFC-GE a maintenu la taxation du contribuable 2022 dans la décision sur réclamation du 6 novembre 2023.</w:t>
      </w:r>
    </w:p>
    <w:p>
      <w:r>
        <w:rPr>
          <w:b/>
        </w:rPr>
        <w:t>E. 10</w:t>
      </w:r>
    </w:p>
    <w:p>
      <w:r>
        <w:t>Mal fondé, le recours est rejeté.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- 6/6 - A/4254/2023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