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JTAPI/396/2024 vom 29. April 2024</w:t>
      </w:r>
    </w:p>
    <w:p>
      <w:r>
        <w:t>GE Cour de justice, 2024-04-29, FR</w:t>
      </w:r>
    </w:p>
    <w:p>
      <w:r>
        <w:rPr>
          <w:b/>
        </w:rPr>
        <w:t xml:space="preserve">Quelle: </w:t>
      </w:r>
      <w:r>
        <w:t>https://mcp.opencaselaw.ch/entscheid/ge_gerichte_JTAPI_396_2024</w:t>
      </w:r>
    </w:p>
    <w:p>
      <w:r>
        <w:t>FR: GE_GERICHTE JTAPI/396/2024 du 29 avril 2024</w:t>
      </w:r>
    </w:p>
    <w:p>
      <w:r>
        <w:t>IT: GE_GERICHTE JTAPI/396/2024 del 29 aprile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 applicables par renvoi de l’art. 17 de la loi sur l’imposition à la source des personnes physiques et morales du 16 janvier 2020 (LISP - D 3 20).</w:t>
      </w:r>
    </w:p>
    <w:p>
      <w:r>
        <w:rPr>
          <w:b/>
        </w:rPr>
        <w:t>E. 3</w:t>
      </w:r>
    </w:p>
    <w:p>
      <w:r>
        <w:t>Aux termes de l’art. 3 LISP, les retenues d’impôt à la source sont fixées sur la base des barèmes de l’impôt sur le revenu des personnes physiques et comprennent les impôts fédéral, cantonal et communal, y compris les centimes additionnels cantonaux et communaux, les centimes additionnels communaux étant calculés forfaitairement (al. 1). Les dépenses professionnelles, les primes d’assurance et les déductions pour charges de famille sont prises en considération forfaitairement et sont intégrées dans les barèmes (al. 2).</w:t>
      </w:r>
    </w:p>
    <w:p>
      <w:r>
        <w:t>- 4/6 - A/3566/2023</w:t>
      </w:r>
    </w:p>
    <w:p>
      <w:r>
        <w:t>L’art. 85 LIFD prévoit également que le montant de l’impôt est retenu à la source sur la base des barèmes de l’impôt sur le revenu des personnes physiques (al. 1). Le montant de la retenue tient compte des frais professionnels (art. 26 LIFD) et des primes d’assurance (art. 33 al. 1, let. d, f et g LIFD) sous forme de forfaits, ainsi que des déductions pour les charges de famille du contribuable (art. 35 LIFD).</w:t>
      </w:r>
    </w:p>
    <w:p>
      <w:r>
        <w:rPr>
          <w:b/>
        </w:rPr>
        <w:t>E. 4</w:t>
      </w:r>
    </w:p>
    <w:p>
      <w:r>
        <w:t>Le règlement d’application de la LISP du 30 septembre 2020 (RISP - D 3 20.01) et l’ordonnance fédérale sur l’imposition à la source du 11 avril 2018 (OIS - 642.118.2) précisent que le barème H est applicable à des personnes célibataires, divorcées, séparées de droit ou de fait ou veuves, vivant en ménage commun avec des enfants ou des personnes nécessiteuses et qui assument l'essentiel de l'entretien de ces derniers (art. 1 al. 1 let. h).</w:t>
      </w:r>
    </w:p>
    <w:p>
      <w:r>
        <w:rPr>
          <w:b/>
        </w:rPr>
        <w:t>E. 5</w:t>
      </w:r>
    </w:p>
    <w:p>
      <w:r>
        <w:t>Dans sa circulaire n° 45 du 12 juin 2019 sur l’impôt à la source, l'administration fédérale des contributions précise également que le barème H, qui découle de l’art. 36 al. 2bis LIFD, s’applique aux personnes seules qui vivent en ménage commun avec des enfants ou des personnes nécessiteuses dont elles assument l’essentiel de l’entretien (ch. 4.3). On part généralement du principe que le parent chez lequel vit l’enfant assume l’essentiel de l’entretien de ce dernier. Le parent qui assume pour l’essentiel l’entretien de l’enfant doit par conséquent être imposé conformément au barème H1 (cf. ch. 4.7).</w:t>
      </w:r>
    </w:p>
    <w:p>
      <w:r>
        <w:rPr>
          <w:b/>
        </w:rPr>
        <w:t>E. 6</w:t>
      </w:r>
    </w:p>
    <w:p>
      <w:r>
        <w:t>En matière d’impôts directs (dont les barèmes sont pris comme référence dans les dispositions précitées), pour l’octroi du barème d’imposition, les critères de versement ou non de la pension alimentaire, de l’importance de l’entretien et de celle de la garde ne sont déterminants que lorsqu’il s’agit des enfants sous garde parentale, que sont seuls les enfants mineurs (cf. not. ATF 141 II 338 consid. 4.4), alors qu’il découle du texte même de l’art. 41 al. 3 LIPP que, lorsqu’il s’agit des enfants majeurs, seul est déterminant le critère de ménage commun avec ces derniers. Ainsi, « à condition de vivre en ménage commun avec l’enfant et d’en assurer l’essentiel de l’entretien », le contribuable célibataire, veuf, divorcé ou séparé bénéficie - en sus de la déduction pour enfant et celle pour assurances de l’enfant - du barème pour couple (ATF 131 II 553 consid. 3.4).</w:t>
      </w:r>
    </w:p>
    <w:p>
      <w:r>
        <w:rPr>
          <w:b/>
        </w:rPr>
        <w:t>E. 7</w:t>
      </w:r>
    </w:p>
    <w:p>
      <w:r>
        <w:t>Selon l’art. 35 al. 1 let. a LIFD, sont déduits du revenu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L’art. 39 LIPP prévoit une déduction de CHF 13'000.- pour chaque charge de famille (entière) et une déduction de CHF 6'500.- pour chaque demi-charge de famille (al. 1 let. a et b), précisant que « lorsqu’une personne est à charge de plusieurs contribuables, la déduction est répartie entre ceux-ci » (al 1 2ème phr.).</w:t>
      </w:r>
    </w:p>
    <w:p>
      <w:r>
        <w:rPr>
          <w:b/>
        </w:rPr>
        <w:t>E. 8</w:t>
      </w:r>
    </w:p>
    <w:p>
      <w:r>
        <w:t>Le 16 février 2011, l’AFC-GE a émis l’information 2/2011 (disponible à l’adresse https://www.ge.ch/document/358/telecharger), relative à l’imposition de la famille</w:t>
      </w:r>
    </w:p>
    <w:p>
      <w:r>
        <w:t>- 5/6 - A/3566/2023 (en ICC), que la chambre administrative de la Cour de justice a approuvée (ATA/270/2014 du 15 avril 2014 et les références citées). Selon le tableau A3 annexé à cette information, dans la situation de parents séparés, divorcés ou non mariés vivant dans deux ménages distincts, le parent qui fait ménage commun avec l’enfant majeur bénéficie du splitting et de la déduction pour charge de famille, contrairement à l’autre parent. Toutefois, ce dernier peut revendiquer une déduction pour charge de famille, à condition qu’il participe à l’entretien de l’enfant, par exemple par le biais d’une pension alimentaire (qui n’est plus déductible à compter du mois suivant la majorité de l’enfant) et qu’il puisse le justifier ; dans ce cas, la déduction (pour charge de famille) est partagée entre les deux parents.</w:t>
      </w:r>
    </w:p>
    <w:p>
      <w:r>
        <w:rPr>
          <w:b/>
        </w:rPr>
        <w:t>E. 9</w:t>
      </w:r>
    </w:p>
    <w:p>
      <w:r>
        <w:t>En matière fiscale, il appartient à l'autorité de taxation d'établir les faits qui fondent la créance d'impôt ou qui l'augmentent, alors que le contribuable doit alléguer et prouver les faits qui suppriment ou réduisent cette créance, ces règles s'appliquant également à la procédure devant les autorités de recours (cf. not. ATF 140 II 248 consid. 3.5).</w:t>
      </w:r>
    </w:p>
    <w:p>
      <w:r>
        <w:rPr>
          <w:b/>
        </w:rPr>
        <w:t>E. 10</w:t>
      </w:r>
    </w:p>
    <w:p>
      <w:r>
        <w:t>En l’espèce, l'AFC-GE a partagé la charge de famille litigieuse entre les parents en partant de la prémisse que l’ex-époux de la recourante a également contribué à l’entretien de leur enfant majeur, par la pension qu’il a mentionnée dans sa déclaration fiscale 2022 (CHF 4'000.-). Elle ne saurait être suivie. En effet, sur la base des pièces versées au dossier, le tribunal constate que l'AFC- GE n’a pas demandé à l’ex-époux de prouver le versement effectif de ladite pension et que celui-ci ne lui a remis spontanément aucun justificatif y relatif. Or, pour pouvoir être prise en compte fiscalement, une contribution à l’entretien de l’enfant doit être effectivement versée (cf. art. 33 al. 1 let. c LIFD et 33 LIPP ; ég. arrêts du Tribunal fédéral 2C_233/2017 du 13 avril 2018 consid. 6.2 et 2C_585/2014 du 13 février 2015 consid. 5.1). Il convient donc de s’en tenir à ce que l’ex-époux a confirmé dans son attestation du 13 juillet 2023, à savoir qu’il n’a versé aucune pension pour l’enfant en 2022. Dans ces conditions, il faut admettre que la recourante a prouvé avoir contribué seule à l’entretien de l’enfant en 2022. En conséquence, une charge de famille entière doit lui être accordée. Pour le surplus, il n’appartient pas au tribunal de déterminer dans le présent jugement si c’est à bon droit, ou non, qu’une demi-charge de famille a été accordée à l’ex-époux. En tout état, le seul fait que celui-ci ait bénéficié de cette charge ne justifie aucunement le refus d’une charge entière à la recourante, comme semble le soutenir l’autorité intimée dans sa réponse.</w:t>
      </w:r>
    </w:p>
    <w:p>
      <w:r>
        <w:rPr>
          <w:b/>
        </w:rPr>
        <w:t>E. 11</w:t>
      </w:r>
    </w:p>
    <w:p>
      <w:r>
        <w:t>Au vu de ce qui précède, le recours sera admis et le dossier renvoyé à l'AFC-GE pour qu’elle établisse un nouveau bordereau de taxation 2022, conformément au barème H1.</w:t>
      </w:r>
    </w:p>
    <w:p>
      <w:r>
        <w:rPr>
          <w:b/>
        </w:rPr>
        <w:t>E. 12</w:t>
      </w:r>
    </w:p>
    <w:p>
      <w:r>
        <w:t>Vu l'issue du litige, il ne sera pas perçu d’émolument et l’avance de frais versée par la recourante lui sera restituée.</w:t>
      </w:r>
    </w:p>
    <w:p>
      <w:r>
        <w:rPr>
          <w:b/>
        </w:rPr>
        <w:t>E. 13</w:t>
      </w:r>
    </w:p>
    <w:p>
      <w:r>
        <w:t>Il n’est pas alloué d’indemité.</w:t>
      </w:r>
    </w:p>
    <w:p>
      <w:r>
        <w:t>- 6/6 - A/3566/2023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