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JTAPI/395/2024 vom 15. April 2024</w:t>
      </w:r>
    </w:p>
    <w:p>
      <w:r>
        <w:t>GE Cour de justice, 2024-04-15, FR</w:t>
      </w:r>
    </w:p>
    <w:p>
      <w:r>
        <w:rPr>
          <w:b/>
        </w:rPr>
        <w:t xml:space="preserve">Quelle: </w:t>
      </w:r>
      <w:r>
        <w:t>https://mcp.opencaselaw.ch/entscheid/ge_gerichte_JTAPI_395_2024</w:t>
      </w:r>
    </w:p>
    <w:p>
      <w:r>
        <w:t>FR: GE_GERICHTE JTAPI/395/2024 du 15 avril 2024</w:t>
      </w:r>
    </w:p>
    <w:p>
      <w:r>
        <w:t>IT: GE_GERICHTE JTAPI/395/2024 del 15 aprile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rPr>
          <w:b/>
        </w:rPr>
        <w:t>E. 2</w:t>
      </w:r>
    </w:p>
    <w:p>
      <w:r>
        <w:t>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3</w:t>
      </w:r>
    </w:p>
    <w:p>
      <w:r>
        <w:t>En l'espèce, le tribunal a été valablement saisi et respecte le délai précité en statuant ce jour, la détention administrative ayant débuté le 25 avril 2024 à 16h05.</w:t>
      </w:r>
    </w:p>
    <w:p>
      <w:r>
        <w:rPr>
          <w:b/>
        </w:rPr>
        <w:t>E. 3.1</w:t>
      </w:r>
    </w:p>
    <w:p>
      <w:r>
        <w:t>; ATA/740/2015 du 16 juillet 2015 ; ATA/943/2014 du 28 novembre 2014 ; ATA/616/2014 du 7 août 2014).</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4</w:t>
      </w:r>
    </w:p>
    <w:p>
      <w:r>
        <w:t>Le tribunal peut confirmer, réformer ou annuler la décision de l'officier de police ; le cas échéant, il ordonne la mise en liberté de l'étranger (cf. art. 9 al. 3 LaLEtr).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t>- 4/8 - A/1392/2024</w:t>
      </w:r>
    </w:p>
    <w:p>
      <w:r>
        <w:rPr>
          <w:b/>
        </w:rPr>
        <w:t>E. 6</w:t>
      </w:r>
    </w:p>
    <w:p>
      <w:r>
        <w:t>Selon l'art. 76 al. 1 let. b ch. 1 LEI (cum art. 75 al. 1 let. g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lorsqu'elle menace sérieusement d'autre personnes ou met gravement en danger leur vie ou leur intégrité corporelle et fait l'objet d'une poursuite pénale ou a été condamnée pour ce motif. 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w:t>
      </w:r>
    </w:p>
    <w:p>
      <w:r>
        <w:rPr>
          <w:b/>
        </w:rPr>
        <w:t>E. 7</w:t>
      </w:r>
    </w:p>
    <w:p>
      <w:r>
        <w:t>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w:t>
      </w:r>
    </w:p>
    <w:p>
      <w:r>
        <w:rPr>
          <w:b/>
        </w:rPr>
        <w:t>E. 8</w:t>
      </w:r>
    </w:p>
    <w:p>
      <w:r>
        <w:t>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(arrêts du Tribunal fédéral 2C_293/2012 du 18 avril 2012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(cf. ATF 125 II 369 consid. 3b/bb ; arrêts du Tribunal fédéral 2C_293/2012 du 18 avril 2012 consid. 4.3 ; 2A.35/2000 du 10 février 2000 consid. 2b/bb ; 2A.450/1995 du 3 novembre 1995 consid. 5b). En revanche, celui qui n'a agi que de manière isolée avec une petite quantité de stupéfiants ne représente pas encore un danger grave pour la vie ou l'intégrité corporelle d'autres personnes (arrêts du Tribunal</w:t>
      </w:r>
    </w:p>
    <w:p>
      <w:r>
        <w:t>- 5/8 - A/1392/2024 fédéral 2C_293/2012 du 18 avril 2012 consid. 4.3 ; 2A.480/2003 du 26 août 2004 consid. 3.1 in fine ; 2A.35/2000 du 10 février 2000 consid. 2b/bb; 2A.450/1995 du 3 novembre 1995 consid. 3b).</w:t>
      </w:r>
    </w:p>
    <w:p>
      <w:r>
        <w:rPr>
          <w:b/>
        </w:rPr>
        <w:t>E. 9</w:t>
      </w:r>
    </w:p>
    <w:p>
      <w:r>
        <w:t>De même, une mise en détention administrative est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10</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11</w:t>
      </w:r>
    </w:p>
    <w:p>
      <w:r>
        <w:t>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w:t>
      </w:r>
    </w:p>
    <w:p>
      <w:r>
        <w:t>- 6/8 - A/1392/2024 AMARELLE [éd.], Code annoté de droit des migrations, vol. II [Loi sur les étrangers], 2017, n. 5 p. 779).</w:t>
      </w:r>
    </w:p>
    <w:p>
      <w:r>
        <w:rPr>
          <w:b/>
        </w:rPr>
        <w:t>E. 12</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13</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14</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15</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16</w:t>
      </w:r>
    </w:p>
    <w:p>
      <w:r>
        <w:t>En l’occurrence, M. A______ fait l’objet d’une mesure d’expulsion judiciaire du territoire suisse pour une durée de trois ans prononcé par le TDP le 15 avril 2024. Il a par ailleurs été condamné pour infraction à l’art. 19 al. 1 LStup pour son implication dans un trafic portant sur de la cocaïne, soit une drogue « dure ». Il ressort des pièces du dossier que M. A______ s’est adonné à ce trafic parce qu’il</w:t>
      </w:r>
    </w:p>
    <w:p>
      <w:r>
        <w:t>- 7/8 - A/1392/2024 souhaitait « se faire de l’argent » ; il a ainsi vu dans ce trafic un moyen de se procurer facilement de l’argent et il aurait certainement poursuivi cette activité s’il n’avait pas été arrêté par la police. Ces circonstances démontrent un risque sérieux qu’il pourrait continuer à participer à du trafic de stupéfiants - dont tout porte à croire qu'il constituait la seule raison de sa venue à Genève - s’il était remis en liberté, de sorte que sa détention administrative est justifiée, sous l’angle de l’art. 76 al. 1 let. b ch. 1 LEI, renvoyant à l’art. 75 al. 1 let. g LEI. Par ailleurs, l'assurance du départ effectif de M. A______ répond à un intérêt public certain et s'inscrit dans le cadre des obligations internationales de la Suisse, étant rappelé que les autorités suisses doivent s'assurer du fait qu'il quittera effectivement le territoire, désormais - et sans autre option possible en l'état - à destination de son pays d'origine. Ainsi, M. A______ ne saurait être remis en liberté pour quitter la Suisse par ses propres moyens, le risque qu’il se rende en France, pays dans lequel il réside, ainsi que sa fiancée, mais où il n’est pas autorisé à se rendre, est hautement probable. Dans son principe, la détention en cause n'est par conséquent pas contraire au principe de la proportionnalité. Les autorités ont agi avec diligence et célérité puisqu’elles ont entrepris, alors que M. A______ se trouvait encore en détention pénale, les démarches en vue d’un renvoi en France, lequel ne pourra finalement pas se concrétiser vu le refus des autorités françaises de réadmettre l’intéressé sur leur territoire, puis entrepris celles permettant de procéder au renvoi de l’intéressé à destination de la Macédoine du Nord, son pays d’origine – démarches encore en cours à ce jour. Avec la remise ce jour du passeport de M. A______ aux autorités, la réservation d’une place sur un vol pourra être effectuée sans avoir à obtenir un laissez-passer. Enfin, la durée de la détention sollicitée respecte pleinement le cadre légal précité et n’apparait pas disproportionnée au vu des démarches que les autorités ont dû entreprendre. Si, certes, la remise du passeport va accélérer lesdites démarches, aucune assurance que celles-ci aboutiront rapidement n’est donnée. Par ailleurs, sa portée est somme toute relative, puisque ladite détention prendra fin lorsque M. A______ pourra être renvoyé de Suisse et que ce dernier affirme être disposé à être refoulé dans son pays d’origine. Si, par impossible, son refoulement ne pouvait pas avoir lieu dans les prochaines semaines, les services de police devraient alors pouvoir disposer du temps nécessaire pour entreprendre de nouvelles démarches. 1. Au vu de ce qui précède, il y a lieu de confirmer l'ordre de mise en détention administrative de M. A______ pour une durée de trois mois. 2.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A/1392/2024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