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JTAPI/394/2025 vom 11. April 2025</w:t>
      </w:r>
    </w:p>
    <w:p>
      <w:r>
        <w:t>GE Cour de justice, 2025-04-11, FR</w:t>
      </w:r>
    </w:p>
    <w:p>
      <w:r>
        <w:rPr>
          <w:b/>
        </w:rPr>
        <w:t xml:space="preserve">Quelle: </w:t>
      </w:r>
      <w:r>
        <w:t>https://mcp.opencaselaw.ch/entscheid/ge_gerichte_JTAPI_394_2025</w:t>
      </w:r>
    </w:p>
    <w:p>
      <w:r>
        <w:t>FR: GE_GERICHTE JTAPI/394/2025 du 11 avril 2025</w:t>
      </w:r>
    </w:p>
    <w:p>
      <w:r>
        <w:t>IT: GE_GERICHTE JTAPI/394/2025 del 11 aprile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60 et 62 à 65 de la loi sur la procédure administrative du 12 septembre 1985 (LPA - E 5 10). 3. À toutes fins utiles, le tribunal constate que malgré l'échéance du retrait de permis depuis le 11 novembre 2024, le recours n'a pas perdu son objet.</w:t>
      </w:r>
    </w:p>
    <w:p>
      <w:r>
        <w:t>- 7/11 - A/3263/2024 En effet, la décision contestée a cessé de déployer son principal effet le 11 novembre 2024, si bien que l'intérêt à son annulation n'existe plus au moment où le tribunal de céans statue. Toutefois, la décision de l'OCV du 3 septembre 2024 mentionne expressément l'inscription de cette mesure au fichier SIAC-Mesure. L'exigence d'un intérêt actuel et concret doit être examinée sous cet angle également, en relation avec les conséquences que la loi attache au prononcé d'une telle mesure en cas d'infraction subséquente (art. 16 al. 3 LCR). A rigueur du texte de l'art. 9 de l'ordonnance sur le système d’information relatif à l’admission à la circulation du 30 novembre 2018 (OSIAC - RS 741.58), s’agissant des mesures administratives prévues à l’art. 89c let. d LCR, le sous-système SIAC- Mesures contient les données visées à l’annexe 3 de la LCR concernant les personnes domiciliées en Suisse et celles domiciliées à l’étranger. Selon l'art. 89c let. d LCR, les données relatives aux mesures administratives, à leur levée ou à leur modification, lorsque ces mesures ont été prononcées par des autorités suisses ou par des autorités étrangères contre des personnes domiciliées en Suisse, notamment les refus et retraits de permis et d'autorisations (ch. 1). Il s'ensuit que la mesure prononcée à l'égard du recourant doit bien figurer au registre automatisé des mesures administratives, ce qui constitue une atteinte considérable et durable à sa future réputation de conducteur (ATF 104 Ib 103 consid. 1 p. 105 s., spéc. 106). Le recourant conserve, en conséquence, un intérêt actuel et concret à l'annulation de la décision entreprise (Arrêt du Tribunal fédéral 6A.61/2006 du 23 novembre 2006 consid. 1.2.1).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5</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w:t>
      </w:r>
    </w:p>
    <w:p>
      <w:r>
        <w:rPr>
          <w:b/>
        </w:rPr>
        <w:t>E. 5.1</w:t>
      </w:r>
    </w:p>
    <w:p>
      <w:r>
        <w:t>; arrêt du Tribunal fédéral 8C_763/2017 du 30 octobre 2018 consid. 4.2 ; Thierry TANQUEREL, Manuel de droit administratif, 2018, n. 515 p. 179).</w:t>
      </w:r>
    </w:p>
    <w:p>
      <w:r>
        <w:rPr>
          <w:b/>
        </w:rPr>
        <w:t>E. 5.1.2</w:t>
      </w:r>
    </w:p>
    <w:p>
      <w:r>
        <w:t>; 1C_611/2018 du 18 avril 2019 consid. 3.2.2 ; 1C_202/2018 du 18 septembre 2018 consid. 2.2 et 2.3 ; 1C_30/2017 du</w:t>
      </w:r>
    </w:p>
    <w:p>
      <w:r>
        <w:rPr>
          <w:b/>
        </w:rPr>
        <w:t>E. 6</w:t>
      </w:r>
    </w:p>
    <w:p>
      <w:r>
        <w:t>Saisi d’un recours, le tribunal applique le droit d’office. Il ne peut pas aller au-delà des conclusions des parties, mais n’est lié ni par les motifs invoqués par celles-ci (art. 69 al. 1 LPA), ni par leur argumentation juridique (cf. ATA/386/2018 du 24</w:t>
      </w:r>
    </w:p>
    <w:p>
      <w:r>
        <w:t>- 8/11 - A/3263/2024 avril 2018 consid. 1b ; ATA/117/2016 du 9 février 2016 consid. 2 ; ATA/723/2015 du 14 juillet 2015 consid. 4a).</w:t>
      </w:r>
    </w:p>
    <w:p>
      <w:r>
        <w:rPr>
          <w:b/>
        </w:rPr>
        <w:t>E. 7</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8</w:t>
      </w:r>
    </w:p>
    <w:p>
      <w:r>
        <w:t>Pour déterminer la durée et s'il y a lieu de prononcer un retrait d'admonestation, la LCR distingue les infractions légères (art. 16a LCR), moyennement graves (art. 16b LCR) et graves (art. 16c LCR).</w:t>
      </w:r>
    </w:p>
    <w:p>
      <w:r>
        <w:rPr>
          <w:b/>
        </w:rPr>
        <w:t>E. 9</w:t>
      </w:r>
    </w:p>
    <w:p>
      <w:r>
        <w:t>Commet en particulier une infraction grave, selon l'art. 16c al. 1 LCR, la personne qui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(let. d).</w:t>
      </w:r>
    </w:p>
    <w:p>
      <w:r>
        <w:rPr>
          <w:b/>
        </w:rPr>
        <w:t>E. 10</w:t>
      </w:r>
    </w:p>
    <w:p>
      <w:r>
        <w:t>Sous le titre « constat de l’incapacité de conduire », l'art. 55 LCR prévoit que les conducteurs de véhicules, de même que les autres usagers de la route impliqués dans un accident, peuvent être soumis à un alcootest (al. 1).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est ordonnée si la personne concernée : a) présente des indices laissant présumer une incapacité de conduire qui n’est pas imputable à l’alcool, b) s’oppose ou se dérobe à l’alcootest ou fait en sorte que cette mesure ne puisse atteindre son but ou c) exige une analyse de l’alcool dans le sang (al. 3). Pour des raisons importantes, la prise de sang peut être effectuée contre la volonté de la personne suspectée et tout autre moyen permettant de prouver l’incapacité de conduire de la personne concernée est réservé (al. 4).</w:t>
      </w:r>
    </w:p>
    <w:p>
      <w:r>
        <w:rPr>
          <w:b/>
        </w:rPr>
        <w:t>E. 11</w:t>
      </w:r>
    </w:p>
    <w:p>
      <w:r>
        <w:t>L'entrave aux mesures de constatation de l’incapacité de conduire constitue par ailleurs une infraction pénale réprimée par l'art. 91a LCR, réalisée par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rPr>
          <w:b/>
        </w:rPr>
        <w:t>E. 12</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w:t>
      </w:r>
    </w:p>
    <w:p>
      <w:r>
        <w:t>- 9/11 - A/3263/2024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w:t>
      </w:r>
    </w:p>
    <w:p>
      <w:r>
        <w:rPr>
          <w:b/>
        </w:rPr>
        <w:t>E. 13</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 arrêts du Tribunal fédéral 1C_470/2019 du 31 janvier 2020 consid. 5.1.2 ; 1C_611/2018 du</w:t>
      </w:r>
    </w:p>
    <w:p>
      <w:r>
        <w:rPr>
          <w:b/>
        </w:rPr>
        <w:t>E. 18</w:t>
      </w:r>
    </w:p>
    <w:p>
      <w:r>
        <w:t>avril 2019 consid. 2.2 ; 1C_631/2014 du 20 mars 2015 consid. 2.1).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1C_470/2019 du 31 janvier 2020 consid.</w:t>
      </w:r>
    </w:p>
    <w:p>
      <w:r>
        <w:rPr>
          <w:b/>
        </w:rPr>
        <w:t>E. 21</w:t>
      </w:r>
    </w:p>
    <w:p>
      <w:r>
        <w:t>avril 2017 consid. 2.1 ; 1C_631/2014 du 20 mars 2015 consid. 2.1 ; 1C_245/2010 du 13 juillet 2010 consid. 2.1 ; cf. aussi ATA/622/2016 du 19 juillet 2016 consid. 5b). 14. En l'espèce, le recourant a définitivement été condamné par le Tribunal de police pour infraction à l'art. 91a LCR, laquelle tombe sous le coup de l'art. 16c al. 1 let. d LCR, si bien que la décision querellée, soit le retrait du permis pour infraction grave, est justifiée. 15. Après une infraction grave, le permis de conduire est retiré pour trois mois au minimum (art. 16c al. 2 let. a LCR). 16. Si selon l'art. 102 al.1 LCR, à défaut de prescriptions contraires de celle-ci, les dispositions générales du CP sont applicables, l'art. 16 al. 3 LCR précise que la durée minimale du retrait ne peut être réduite, sauf si la peine a été atténuée conformément à l’art. 100, ch. 4, 3e phrase, non applicable dans le cas d'espèce. 17. Cette règle s’impose à l'autorité et aux tribunaux sans dérogation possible, même pour tenir compte de besoins professionnels particuliers du conducteur ; si des circonstances telles que la gravité de la faute, les antécédents ou la nécessité professionnelle de conduire un véhicule automobile doivent être prises en compte pour fixer la durée du retrait, la durée minimale ne peut pas être réduite (cf.</w:t>
      </w:r>
    </w:p>
    <w:p>
      <w:r>
        <w:t>- 10/11 - A/3263/2024 ATF 135 II 334 consid. 2.2 ; 132 II 234 consid. 2.3 ; arrêts du Tribunal fédéral 1C_312/2015 du 1er juillet 2015 consid. 3.2). 18. En l'espèce, l'autorité intimée a fixé la durée du retrait à trois mois, soit la durée minimale. Le recourant soutient avoir été mis au bénéfice d'une atténuation de la peine en raison de circonstances atténuantes. Non pertinente pour les raisons précitées, cette appréciation ne ressort par ailleurs ni du jugement pénal, ni du procès-verbal d'audience qui s'est tenue devant le tribunal de police, lequel a classé la procédure de deux chefs d'accusation, pour cause de prescription uniquement. Quant au délai entre la commission de l'infraction et la décision querellée, il s'explique par la suspension de la procédure dans l’attente de l’issue de la procédure pénale à la suite du recours interjeté par l’intéressé lui-même. L'argument du recourant en lien avec l'atténuation de la peine en raison de circonstances atténuantes devra ainsi être écarté. Compte tenu de ce qui précède, c'est à juste titre que l’OCV a retiré le permis de conduire du recourant pour une durée de trois mois en application de l'art. 16c al. 2 let. a LCR. Étant lié par cette durée, qui constitue le minimum légal incompressible devant sanctionner une telle infraction, l’OCV a correctement appliqué les règles en vigueur et n'a pas excédé ou abusé de son pouvoir d'appréciation. Partant, le recours doit être rejeté et la décision de l’OCV confirmée. 19.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- 11/11 - A/3263/2024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