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JTAPI/392/2025 vom 9. April 2025</w:t>
      </w:r>
    </w:p>
    <w:p>
      <w:r>
        <w:t>GE Cour de justice, 2025-04-09, FR</w:t>
      </w:r>
    </w:p>
    <w:p>
      <w:r>
        <w:rPr>
          <w:b/>
        </w:rPr>
        <w:t xml:space="preserve">Quelle: </w:t>
      </w:r>
      <w:r>
        <w:t>https://mcp.opencaselaw.ch/entscheid/ge_gerichte_JTAPI_392_2025</w:t>
      </w:r>
    </w:p>
    <w:p>
      <w:r>
        <w:t>FR: GE_GERICHTE JTAPI/392/2025 du 9 avril 2025</w:t>
      </w:r>
    </w:p>
    <w:p>
      <w:r>
        <w:t>IT: GE_GERICHTE JTAPI/392/2025 del 9 aprile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t>- 4/6 - A/1264/2025</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w:t>
      </w:r>
    </w:p>
    <w:p>
      <w:r>
        <w:t>- 5/6 - A/1264/2025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les violences commises à l'encontre de Mme B______ par son mari, M. A______, ont été admises par ce dernier, de sorte que la première condition prévue par l'art. 8 al. 1 LVD, à savoir l'existence d'actes violents, est réalisée. S'agissant de la deuxième condition, qui exige que la mesure d'éloignement soit propre à empêcher la réitération de tels actes, elle est manifestement remplie dans le cas d'espèce. En effet, les époux ont expliqué que le lien conjugal était en souffrance depuis trois ans, ce qui a abouti, il y a environ deux mois, à ce que M. A______ quitte le domicile conjugal à la demande de son épouse. Le 9 avril 2025, le précité revenu au domicile conjugal et s'y est comporté de manière violente, s'en prenant aux affaires de son épouse et se munissant d'un couteau en demandant à son fils d'appeler sa mère à son travail afin de lui demander de rentrer à la maison, tout en précisant qu'il était muni de cette arme. Indépendamment du fait que ce comportement pouvait gravement porter atteinte à son enfant, notamment quant à l'image parentale de ce dernier, M. A______ a montré par ce comportement une progression inquiétante dans l'expression de sa violence.</w:t>
      </w:r>
    </w:p>
    <w:p>
      <w:r>
        <w:rPr>
          <w:b/>
        </w:rPr>
        <w:t>E. 6</w:t>
      </w:r>
    </w:p>
    <w:p>
      <w:r>
        <w:t>L'audience tenue par le tribunal a par ailleurs démontré qu'à défaut d'un travail thérapeutique entamé ensemble, les époux auront vraisemblablement les plus grandes difficultés à renouer une communication respectueuse et à se faire à nouveau confiance. Dans ces conditions, un retour immédiat de M. A______ au domicile conjugal entraîne un risque élevé de réitération de la violence à l'encontre de son épouse. Sous cet angle, la décision litigieuse est parfaitement fondée.</w:t>
      </w:r>
    </w:p>
    <w:p>
      <w:r>
        <w:rPr>
          <w:b/>
        </w:rPr>
        <w:t>E. 7</w:t>
      </w:r>
    </w:p>
    <w:p>
      <w:r>
        <w:t>En revanche, quand bien même M. A______ s'est montré particulièrement inadéquat vis-à-vis de son fils lorsqu'il s'est rendu au domicile familial le 9 avril 2025, faisant peser tout le poids de ses émotions sur un être innocent et sans défense, il apparaît qu'il ne s'est jamais montré violent à l'encontre de ses enfants. Dans cette mesure, la décision litigieuse sera réformée en ce sens qu'elle ne déploiera plus d'effets à l'égard de ces derniers.</w:t>
      </w:r>
    </w:p>
    <w:p>
      <w:r>
        <w:rPr>
          <w:b/>
        </w:rPr>
        <w:t>E. 8</w:t>
      </w:r>
    </w:p>
    <w:p>
      <w:r>
        <w:t>Par conséquent, l'opposition sera partiellement admise dans le sens du considérant précédent.</w:t>
      </w:r>
    </w:p>
    <w:p>
      <w:r>
        <w:rPr>
          <w:b/>
        </w:rPr>
        <w:t>E. 9</w:t>
      </w:r>
    </w:p>
    <w:p>
      <w:r>
        <w:t>Il ne sera pas perçu d'émolument (art. 87 al. 1 LPA).</w:t>
      </w:r>
    </w:p>
    <w:p>
      <w:r>
        <w:rPr>
          <w:b/>
        </w:rPr>
        <w:t>E. 10</w:t>
      </w:r>
    </w:p>
    <w:p>
      <w:r>
        <w:t>Un éventuel recours déposé contre le présent jugement n'aura pas d'effet suspensif (art. 11 al. 1 LVD ; rapport rendu le 1er juin 2010 par la commission judiciaire et de la police chargée d'étudier le PL 10582, p. 17).</w:t>
      </w:r>
    </w:p>
    <w:p>
      <w:r>
        <w:t>- 6/6 - A/1264/2025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