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JTAPI/390/2025 vom 10. April 2025</w:t>
      </w:r>
    </w:p>
    <w:p>
      <w:r>
        <w:t>GE Cour de justice, 2025-04-10, FR</w:t>
      </w:r>
    </w:p>
    <w:p>
      <w:r>
        <w:rPr>
          <w:b/>
        </w:rPr>
        <w:t xml:space="preserve">Quelle: </w:t>
      </w:r>
      <w:r>
        <w:t>https://mcp.opencaselaw.ch/entscheid/ge_gerichte_JTAPI_390_2025</w:t>
      </w:r>
    </w:p>
    <w:p>
      <w:r>
        <w:t>FR: GE_GERICHTE JTAPI/390/2025 du 10 avril 2025</w:t>
      </w:r>
    </w:p>
    <w:p>
      <w:r>
        <w:t>IT: GE_GERICHTE JTAPI/390/2025 del 10 aprile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9 avril 2025 à 17h00.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et les nombreuses références citées).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w:t>
      </w:r>
    </w:p>
    <w:p>
      <w:r>
        <w:t>- 6/8 - A/1263/2025 d'une expulsion (cf. art. 5 par. 1 let. f CEDH ; ATF 143 I 147 consid. 3.1 ; 142 I 135 consid. 4.1 ; 134 I 92 consid. 2.3, 133 II 1 consid. 5.1 ; arrêts du Tribunal fédéral 2C_672/2019 du 22 août 2019 consid. 5.4 ; 2C_263/2019 du 27 juin 2019 consid.</w:t>
      </w:r>
    </w:p>
    <w:p>
      <w:r>
        <w:rPr>
          <w:b/>
        </w:rPr>
        <w:t>E. 4</w:t>
      </w:r>
    </w:p>
    <w:p>
      <w:r>
        <w:t>À teneur de l'art. 76 al. 1 let. b ch. 1 LEI (cum art. 75 al. 1 g LEI), après notification d'une décision de première instance de renvoi ou d'une décision de première instance d'expulsion au sens des art. 66a ou 66abis du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et les arrêts cités).</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w:t>
      </w:r>
    </w:p>
    <w:p>
      <w:r>
        <w:t>- 5/8 - A/1263/2025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6</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7</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et les références citées).</w:t>
      </w:r>
    </w:p>
    <w:p>
      <w:r>
        <w:rPr>
          <w:b/>
        </w:rPr>
        <w:t>E. 10</w:t>
      </w:r>
    </w:p>
    <w:p>
      <w:r>
        <w:t>En l’espèce, M. A______ fait l’objet d’une décision de renvoi prononcée par l’OCPM le 9 avril 2025. Il a été condamné pour infraction à la LStup en raison de son implication dans un trafic de cocaïne, soit une drogue « dure ». Bien que l’intéressé indique avoir simplement fait « une bêtise » en vendant de la drogue, il apparait évident, vu sa situation, qu’il a perçu dans le trafic de stupéfiants le moyen facile de se procurer de l’argent – étant démuni de tout moyen de subsistance - et que, s’il était remis en liberté il poursuivrait sans nul doute cette activité délictueuse. Par ailleurs, l’assurance de son départ répond à un intérêt public certain et toute autre mesure moins incisive que la détention administrative serait vaine pour assurer sa présence au moment où il devra monter à bord du vol devant le ramener en Espagne, ne disposant d’aucune attache ni lieu de résidence à Genève et en Suisse. Les conditions légales de sa détention sont donc remplies. Les autorités ont agi avec diligence et célérité dès lors qu’elles ont immédiatement entrepris les démarches en vue d’obtenir de la part des autorités espagnoles leur accord pour la réadmission de l’intéressé en Espagne. Enfin, la durée de la détention sollicité d’un mois respecte pleinement le cadre légal de l’art. 79 LEI et parait proportionnée eut égard aux démarches encore à effectuer avant la finalisation du renvoi de l’intéressé.</w:t>
      </w:r>
    </w:p>
    <w:p>
      <w:r>
        <w:rPr>
          <w:b/>
        </w:rPr>
        <w:t>E. 11</w:t>
      </w:r>
    </w:p>
    <w:p>
      <w:r>
        <w:t>Au vu de ce qui précède, il y a lieu de confirmer l'ordre de mise en détention administrative de M. A______ pour une durée d’un mois.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- 7/8 - A/1263/2025</w:t>
      </w:r>
    </w:p>
    <w:p>
      <w:r>
        <w:t>- 8/8 - A/1263/2025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