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JTAPI/38/2025 vom 3. Juni 2024</w:t>
      </w:r>
    </w:p>
    <w:p>
      <w:r>
        <w:t>GE Cour de justice, 2024-06-03, FR</w:t>
      </w:r>
    </w:p>
    <w:p>
      <w:r>
        <w:rPr>
          <w:b/>
        </w:rPr>
        <w:t xml:space="preserve">Quelle: </w:t>
      </w:r>
      <w:r>
        <w:t>https://mcp.opencaselaw.ch/entscheid/ge_gerichte_JTAPI_38_2025</w:t>
      </w:r>
    </w:p>
    <w:p>
      <w:r>
        <w:t>FR: GE_GERICHTE JTAPI/38/2025 du 3 juin 2024</w:t>
      </w:r>
    </w:p>
    <w:p>
      <w:r>
        <w:t>IT: GE_GERICHTE JTAPI/38/2025 del 3 giugno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1.5</w:t>
      </w:r>
    </w:p>
    <w:p>
      <w:r>
        <w:t>; ATA/902/2015 du 1er septembre 2015 consid. 3b). La contestation ne peut</w:t>
      </w:r>
    </w:p>
    <w:p>
      <w:r>
        <w:t>- 5/8 - A/2277/2024 excéder l’objet de la décision attaquée, c’est-à-dire les prétentions ou les rapports juridiques sur lesquels l’autorité inférieure s’est prononcée ou aurait dû se prononcer (ATA/1145/2015 du 27 octobre 2015 consid. 4b et les arrêts cités).</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w:t>
      </w:r>
    </w:p>
    <w:p>
      <w:r>
        <w:rPr>
          <w:b/>
        </w:rPr>
        <w:t>E. 6</w:t>
      </w:r>
    </w:p>
    <w:p>
      <w:r>
        <w:t>En l’occurrence, il convient d’emblée de rappeler que la décision querellée a pour seul objet le refus d’entrer en matière sur la demande de reconsidération formulée par le recourant le 28 mars 2024. L’examen du tribunal ne portera donc que sur cette question.</w:t>
      </w:r>
    </w:p>
    <w:p>
      <w:r>
        <w:rPr>
          <w:b/>
        </w:rPr>
        <w:t>E. 7</w:t>
      </w:r>
    </w:p>
    <w:p>
      <w:r>
        <w:t>L'autorité administrative qui a pris une décision entrée en force n'est obligée de la reconsidérer que si sont réalisées les conditions de l'art. 48 al. 1 LPA.</w:t>
      </w:r>
    </w:p>
    <w:p>
      <w:r>
        <w:rPr>
          <w:b/>
        </w:rPr>
        <w:t>E. 8</w:t>
      </w:r>
    </w:p>
    <w:p>
      <w:r>
        <w:t>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w:t>
      </w:r>
    </w:p>
    <w:p>
      <w:r>
        <w:rPr>
          <w:b/>
        </w:rPr>
        <w:t>E. 9</w:t>
      </w:r>
    </w:p>
    <w:p>
      <w:r>
        <w:t>Elle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(ATA/347/2021 du 23 mars 2021 consid. 2).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(ATA/539/2020 précité consid. 4b).</w:t>
      </w:r>
    </w:p>
    <w:p>
      <w:r>
        <w:rPr>
          <w:b/>
        </w:rPr>
        <w:t>E. 10</w:t>
      </w:r>
    </w:p>
    <w:p>
      <w:r>
        <w:t>Bien que l'écoulement du temps et la poursuite d'une intégration socio- professionnelle constituent des modifications des circonstances, ces éléments ne peuvent pas être qualifiés de notables au sens de l'art. 48 let. b LPA lorsqu'ils résultent uniquement du fait que l'étranger ne s'est pas conformé à une décision initiale malgré son entrée en force (ATA/1239/2020 du 8 décembre 2020).</w:t>
      </w:r>
    </w:p>
    <w:p>
      <w:r>
        <w:rPr>
          <w:b/>
        </w:rPr>
        <w:t>E. 11</w:t>
      </w:r>
    </w:p>
    <w:p>
      <w:r>
        <w:t>Une demande en reconsidération n'est pas un moyen de droit destiné à remettre indéfiniment en question les décisions administratives, ni à éluder les dispositions légales sur les délais de recours,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(ATF 136 II 177 consid. 2.1).</w:t>
      </w:r>
    </w:p>
    <w:p>
      <w:r>
        <w:rPr>
          <w:b/>
        </w:rPr>
        <w:t>E. 12</w:t>
      </w:r>
    </w:p>
    <w:p>
      <w:r>
        <w:t>L'autorité doit seulement procéder à un nouvel examen si la loi le lui impose. Au- delà de cela, l'auteur de la demande de réexamen n'a aucun droit à obtenir une nouvelle décision, ni à exiger de l'autorité qu'elle procède à un nouvel examen (ATA/539/2020 du 29 mai 2020 consid. 5c).</w:t>
      </w:r>
    </w:p>
    <w:p>
      <w:r>
        <w:t>- 6/8 - A/2277/2024</w:t>
      </w:r>
    </w:p>
    <w:p>
      <w:r>
        <w:rPr>
          <w:b/>
        </w:rPr>
        <w:t>E. 13</w:t>
      </w:r>
    </w:p>
    <w:p>
      <w:r>
        <w:t>La jurisprudence a déduit de l'art. 29 al. 1 et 2 de la Constitution fédérale de la Confédération suisse du 18 avril 1999 (Cst - RS 101), l'obligation pour l'autorité administrative d'entrer en matière sur une demande en reconsidération, notamment lorsque, en cas de décision déployant des effets durables, les circonstances se sont modifiées dans une mesure notable depuis le prononcé de la décision matérielle mettant fin à la procédure ordinaire (« vrais nova » ; en droit genevois : art. 48 al. 1 let. b LPA), mais aussi si la situation juridique a changé de manière telle que l'on peut sérieusement s'attendre à ce qu'un résultat différent puisse se réaliser, étant précisé que l'état de fait déterminant doit essentiellement s'être modifié après le changement législatif (ATF 136 II 177 consid. 2.1 et 2.2.1).</w:t>
      </w:r>
    </w:p>
    <w:p>
      <w:r>
        <w:rPr>
          <w:b/>
        </w:rPr>
        <w:t>E. 14</w:t>
      </w:r>
    </w:p>
    <w:p>
      <w:r>
        <w:t>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136 II 177 consid. 2.1). Si la juridiction de recours retient la survenance d'une modification des circonstances, elle doit renvoyer le dossier à l'intimé afin que celui-ci le reconsidère (Jacques DUBEY/Jean-Baptiste ZUFFEREY, Droit administratif général, 2014, n. 2148), ce qui n'impliquera pas nécessairement que la décision d'origine sera modifiée (Thierry TANQUEREL, Manuel de droit administratif, 2018, n. 1429).</w:t>
      </w:r>
    </w:p>
    <w:p>
      <w:r>
        <w:rPr>
          <w:b/>
        </w:rPr>
        <w:t>E. 15</w:t>
      </w:r>
    </w:p>
    <w:p>
      <w:r>
        <w:t>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w:t>
      </w:r>
    </w:p>
    <w:p>
      <w:r>
        <w:rPr>
          <w:b/>
        </w:rPr>
        <w:t>E. 16</w:t>
      </w:r>
    </w:p>
    <w:p>
      <w:r>
        <w:t>En l’espèce, à l'appui de sa demande de reconsidération, le recourant se prévaut de son long séjour sur le territoire suisse, de sa bonne intégration socio-professionnelle et de la naissance de ses jumeaux le ______ 2024.</w:t>
      </w:r>
    </w:p>
    <w:p>
      <w:r>
        <w:t>La question de la durée de séjour et de l'intégration du recourant ont déjà fait l'objet d'un examen détaillé par le tribunal de céans dans son jugement 27 février 2020 (JTAPI/203/2020), lequel est entré en force. Si ces éléments ont certes évolué en faveur du recourant depuis le prononcé de la décision de renvoi du 25 septembre 2019 et le jugement du tribunal précité, ils ne sauraient cependant être qualifiés de modification notable des circonstances, dès lors qu'ils résultent uniquement du fait que le recourant ne s'est pas conformé à la décision de renvoi précitée, malgré son entrée en force.</w:t>
      </w:r>
    </w:p>
    <w:p>
      <w:r>
        <w:t>Il en va de même de la naissance de ses jumeaux, nés le ______ 2024, soit après la décision de refus et de renvoi, lesquelles demeurent encore très jeunes, de sorte que leur sort suit irrémédiablement celui de leur parent. En effet, conformément à la</w:t>
      </w:r>
    </w:p>
    <w:p>
      <w:r>
        <w:t>- 7/8 - A/2277/2024 jurisprudence, il ne s'agit pas d'une modification importante de l'état de fait ou des bases juridiques, ayant pour conséquence, malgré l'autorité de la chose jugée rattachée à la décision en force, que cette dernière doit être remise en question (ATA/885/2023 du 22 août 2023 consid. 5.1 ; ATA/539/2020 du 29 mai 2020 ; ATA/444/2015 du 12 mai 2015).</w:t>
      </w:r>
    </w:p>
    <w:p>
      <w:r>
        <w:rPr>
          <w:b/>
        </w:rPr>
        <w:t>E. 17</w:t>
      </w:r>
    </w:p>
    <w:p>
      <w:r>
        <w:t>C’est dès lors à juste titre que l’OCPM a refusé d’entrer en matière sur la demande de reconsidération déposée par le recourant.</w:t>
      </w:r>
    </w:p>
    <w:p>
      <w:r>
        <w:rPr>
          <w:b/>
        </w:rPr>
        <w:t>E. 18</w:t>
      </w:r>
    </w:p>
    <w:p>
      <w:r>
        <w:t>Au vu de ce qui précède, le recours doit être rejeté.</w:t>
      </w:r>
    </w:p>
    <w:p>
      <w:r>
        <w:rPr>
          <w:b/>
        </w:rPr>
        <w:t>E. 19</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20</w:t>
      </w:r>
    </w:p>
    <w:p>
      <w:r>
        <w:t>En vertu des art. 89 al. 2 et 111 al. 2 de la loi sur le Tribunal fédéral du 17 juin 2005 (LTF - RS 173.110), le présent jugement sera communiqué au secrétariat d'État aux migrations.</w:t>
      </w:r>
    </w:p>
    <w:p>
      <w:r>
        <w:t>- 8/8 - A/2277/2024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