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JTAPI/386/2022 vom 14. April 2022</w:t>
      </w:r>
    </w:p>
    <w:p>
      <w:r>
        <w:t>GE Cour de justice, 2022-04-14, FR</w:t>
      </w:r>
    </w:p>
    <w:p>
      <w:r>
        <w:rPr>
          <w:b/>
        </w:rPr>
        <w:t xml:space="preserve">Quelle: </w:t>
      </w:r>
      <w:r>
        <w:t>https://mcp.opencaselaw.ch/entscheid/ge_gerichte_JTAPI_386_2022</w:t>
      </w:r>
    </w:p>
    <w:p>
      <w:r>
        <w:t>FR: GE_GERICHTE JTAPI/386/2022 du 14 avril 2022</w:t>
      </w:r>
    </w:p>
    <w:p>
      <w:r>
        <w:t>IT: GE_GERICHTE JTAPI/386/2022 del 14 aprile 2022</w:t>
      </w:r>
    </w:p>
    <w:p>
      <w:pPr>
        <w:pStyle w:val="Heading2"/>
      </w:pPr>
      <w:r>
        <w:t>Erwägungen</w:t>
      </w:r>
    </w:p>
    <w:p>
      <w:r>
        <w:rPr>
          <w:b/>
        </w:rPr>
        <w:t>E. 1</w:t>
      </w:r>
    </w:p>
    <w:p>
      <w:r>
        <w:t>et 116 al. 1 de la loi sur l’organisation judiciaire du 26 septembre 2010 - LOJ - E 2 05 ; art. 7 al. 4 let. g de la loi d'application de la loi fédérale sur les étrangers du 16 juin 1988 - LaLEtr - F 2 10).</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peut être demandé à tout moment.</w:t>
      </w:r>
    </w:p>
    <w:p>
      <w:r>
        <w:rPr>
          <w:b/>
        </w:rPr>
        <w:t>E. 3</w:t>
      </w:r>
    </w:p>
    <w:p>
      <w:r>
        <w:t>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JTAPI/803/2019 du 6 septembre 2019 ; JTAPI/720/2018 du 27 août 2018 ; JTAPI/13172018 du 13 février 2018 ; cf. aussi ATA/557/2017 du 16 mai 2017).</w:t>
      </w:r>
    </w:p>
    <w:p>
      <w:r>
        <w:rPr>
          <w:b/>
        </w:rPr>
        <w:t>E. 4</w:t>
      </w:r>
    </w:p>
    <w:p>
      <w:r>
        <w:t>En l'espèce, M. A______ a requis du tribunal qu'il contrôle la légalité et l'adéquation de sa détention.</w:t>
      </w:r>
    </w:p>
    <w:p>
      <w:r>
        <w:rPr>
          <w:b/>
        </w:rPr>
        <w:t>E. 5</w:t>
      </w:r>
    </w:p>
    <w:p>
      <w:r>
        <w:t>Le tribunal peut confirmer, réformer ou annuler la décision du commissaire de police ; le cas échéant, il ordonne la mise en liberté de l'étranger (cf. art. 9 al. 3 LaLEtr).</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w:t>
      </w:r>
    </w:p>
    <w:p>
      <w:r>
        <w:t>- 5/10 - A/1153/2022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Selon l'art. 28 par. 2 du Règlement (UE) n° 604/2013 (ci-après : le Règlement),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8</w:t>
      </w:r>
    </w:p>
    <w:p>
      <w:r>
        <w:t>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w:t>
      </w:r>
    </w:p>
    <w:p>
      <w:r>
        <w:rPr>
          <w:b/>
        </w:rPr>
        <w:t>E. 9</w:t>
      </w:r>
    </w:p>
    <w:p>
      <w:r>
        <w:t>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10</w:t>
      </w:r>
    </w:p>
    <w:p>
      <w:r>
        <w:t>Un comportement en Suisse ou à l'étranger adopté par l'intéressé permettant « de conclure qu'il refuse d'obtempérer aux instructions des autorités » constitue un élément concret faisant craindre qu'il entende se soustraire à l'exécution du renvoi (art. 76a al. 2 let. b LEI). Il ressort du Message relatif à l'approbation et à la mise en œuvre des échanges de notes entre la Suisse et l'Union européenne concernant la reprise des règlements (UE) nos 603/2013 et 604/2013 (développements de l'acquis de Dublin/Eurodac) du 7 mars 2014 (FF 2014 2587, 2614) que l'art. 76a</w:t>
      </w:r>
    </w:p>
    <w:p>
      <w:r>
        <w:t>- 6/10 - A/1153/2022 al. 2 LEI définit les critères relatifs au risque de passage à la clandestinité (cf. let. a à i). Il s'agit là d'indices concrets relevés au cas par cas justifiant de craindre que la personne concernée n'entende se soustraire à l'exécution du renvoi (non- observation des prescriptions des autorités, p. ex. violation de l'obligation de collaborer, dépôt de plusieurs demandes d'asile sous des identités différentes, etc.). Ces critères s'apparentent aux motifs déjà existants de détention en phase préparatoire ou de détention en vue du renvoi définis aux art. 75 et 76 LEI (cf. Gregor CHATTON/Laurent MERZ, op. cit., n. 17 ad art. 76a p. 808).</w:t>
      </w:r>
    </w:p>
    <w:p>
      <w:r>
        <w:rPr>
          <w:b/>
        </w:rPr>
        <w:t>E. 11</w:t>
      </w:r>
    </w:p>
    <w:p>
      <w:r>
        <w:t>Selon les définitions données par l'art. 2 du Règlement, par « demande de protection internationale », il faut entendre une demande de protection internationale au sens de l'art. 2 point h) de la directive 2011/95/UE (art. 2 point b) du Règlement). Par « demandeur » il faut entendre le ressortissant de pays tiers ou l'apatride ayant présenté une demande de protection internationale sur laquelle il n'a pas encore été statué définitivement (art. 2 point c) du Règlement). Par « bénéficiaire d'une protection internationale », il faut entendre un ressortissant de pays tiers ou un apatride qui a obtenu la protection internationale au sens de l'art. 2 point a) de la directive 2011/95/UE (art. 2 point f) du Règlement). Par « titre de séjour », il faut entendre toute autorisation délivrée par les autorités d'un État membre autorisant le séjour d'un ressortissant de pays tiers ou d'un apatride sur son territoire, y compris les documents matérialisant l'autorisation de se maintenir sur le territoire dans le cadre d'un régime de protection temporaire ou en attendant que prennent fin les circonstances qui font obstacle à l'exécution de mesures d'éloignement, à l'exception des visas et des autorisations de séjour délivrés pendant la période nécessaire pour déterminer l'État membre responsable en vertu du présent règlement ou pendant l'examen d'une demande de protection internationale ou d'une demande d'autorisation de séjour (art. 2 point l) du Règlement).</w:t>
      </w:r>
    </w:p>
    <w:p>
      <w:r>
        <w:rPr>
          <w:b/>
        </w:rPr>
        <w:t>E. 12</w:t>
      </w:r>
    </w:p>
    <w:p>
      <w:r>
        <w:t>Selon l'art. 18 ch. 1 du Règlement, l'État membre responsable envers du présent Règlement est tenu de : a) prendre en charge, dans les conditions prévues aux articles 21, 22 et 29, le demandeur qui a introduit une demande dans un autre État membre;</w:t>
      </w:r>
    </w:p>
    <w:p>
      <w:r>
        <w:rPr>
          <w:b/>
        </w:rPr>
        <w:t>E. 13</w:t>
      </w:r>
    </w:p>
    <w:p>
      <w:r>
        <w:t>b) reprendre en charge, dans les conditions prévues aux articles 23, 24, 25 et 29, le demandeur dont la demande est en cours d’examen et qui a présenté une demande auprès d’un autre État membre ou qui se trouve, sans titre de séjour, sur le territoire d’un autre État membre;</w:t>
      </w:r>
    </w:p>
    <w:p>
      <w:r>
        <w:rPr>
          <w:b/>
        </w:rPr>
        <w:t>E. 14</w:t>
      </w:r>
    </w:p>
    <w:p>
      <w:r>
        <w:t>c) reprendre en charge, dans les conditions prévues aux articles 23, 24, 25 et 29 le ressortissant de pays tiers ou l’apatride qui a retiré sa demande en cours d’examen</w:t>
      </w:r>
    </w:p>
    <w:p>
      <w:r>
        <w:t>- 7/10 - A/1153/2022 et qui a présenté une demande dans un autre État membre ou qui se trouve, sans titre de séjour, sur le territoire d’un autre État membre;</w:t>
      </w:r>
    </w:p>
    <w:p>
      <w:r>
        <w:rPr>
          <w:b/>
        </w:rPr>
        <w:t>E. 15</w:t>
      </w:r>
    </w:p>
    <w:p>
      <w:r>
        <w:t>d) reprendre en charge, dans les conditions prévues aux articles 23, 24, 25 et 29, le ressortissant de pays tiers ou l’apatride dont la demande a été rejetée et qui a présenté une demande auprès d’un autre État membre ou qui se trouve, sans titre de séjour, sur le territoire d’un autre État membre.</w:t>
      </w:r>
    </w:p>
    <w:p>
      <w:r>
        <w:rPr>
          <w:b/>
        </w:rPr>
        <w:t>E. 16</w:t>
      </w:r>
    </w:p>
    <w:p>
      <w:r>
        <w:t>Selon l'art. 2 point h) du Règlement 2011/95/UE, par « demande de protection internationale », il faut entendre la demande de protection présentée à un État membre par ressortissant d'un pays tiers ou un apatride, qui peut être comprise comme visant à obtenir le statut de réfugié ou le statut conféré par la protection subsidiaire, le demandeur ne sollicitant pas explicitement un autre type de protection hors du champ d'application de la présente directive et pouvant faire l'objet d'une demande séparée.</w:t>
      </w:r>
    </w:p>
    <w:p>
      <w:r>
        <w:rPr>
          <w:b/>
        </w:rPr>
        <w:t>E. 17</w:t>
      </w:r>
    </w:p>
    <w:p>
      <w:r>
        <w:t>Selon l'art. 2 point a) du Règlement 2011/95/UE, par « protection internationale », il faut entendre le statut de réfugié le statut conféré par la protection subsidiaire définie aux points e) et f).</w:t>
      </w:r>
    </w:p>
    <w:p>
      <w:r>
        <w:rPr>
          <w:b/>
        </w:rPr>
        <w:t>E. 18</w:t>
      </w:r>
    </w:p>
    <w:p>
      <w:r>
        <w:t>Selon l'art. 2 point e) du Règlement 2011/95/UE le « statut de réfugié » correspond à la reconnaissance, par un État membre, de la qualité de réfugié pour tout ressortissant d'un pays tiers ou apatride.</w:t>
      </w:r>
    </w:p>
    <w:p>
      <w:r>
        <w:rPr>
          <w:b/>
        </w:rPr>
        <w:t>E. 19</w:t>
      </w:r>
    </w:p>
    <w:p>
      <w:r>
        <w:t>Selon l'art. 2 point f) du Règlement 2011/95/UE, par « personnes pouvant bénéficier de la protection subsidiaire », tout ressortissant d'un pays tiers ou tout apatride qui ne peut être considéré comme réfugié, mais pour lequel il y a des motifs sérieux et avérés de croire que la personne concernée, si elle était renvoyée dans son pays d'origine ou, dans le cadre d'un apatride, dans le pays dans lequel elle avait sa résidence habituelle, courrait un risque réel de subir les atteintes graves définies à l'art. 15, l'art. 17 paragr. 1 et 2 n'étant pas applicables à cette personne, et cette personne ne pouvant pas, ou compte tenu de ce risque, n'étant pas disposée à se prévaloir de la protection de ce pays.</w:t>
      </w:r>
    </w:p>
    <w:p>
      <w:r>
        <w:rPr>
          <w:b/>
        </w:rPr>
        <w:t>E. 20</w:t>
      </w:r>
    </w:p>
    <w:p>
      <w:r>
        <w:t>Selon l'art. 15 du Règlement 2011/95/UE, les atteintes graves sont: a) la peine de mort ou l’exécution; ou b) la torture ou des traitements ou sanctions inhumains ou dégradants infligés à un demandeur dans son pays d’origine; ou c) des menaces graves et individuelles contre la vie ou la personne d’un civil en raison d’une violence aveugle en cas de conflit armé interne ou international.</w:t>
      </w:r>
    </w:p>
    <w:p>
      <w:r>
        <w:rPr>
          <w:b/>
        </w:rPr>
        <w:t>E. 21</w:t>
      </w:r>
    </w:p>
    <w:p>
      <w:r>
        <w:t>L'art. 17 du Règlement 2011/95/UE exclut quant à lui de la possibilité de bénéficier de la protection subsidiaire des personnes au sujet desquels il existe des</w:t>
      </w:r>
    </w:p>
    <w:p>
      <w:r>
        <w:t>- 8/10 - A/1153/2022 motifs sérieux de considérer, en substance, qu'elles ont commis un crime contre la paix, un crime de guerre, un crime contre l'humanité, un crime grave, ou qu'elles se sont rendues coupables d'agissements contraires aux buts et aux principes des Nations unies, ou encore qu'elles représentent une menace pour la société ou la sécurité de l'État membre dans lequel elles se trouvent</w:t>
      </w:r>
    </w:p>
    <w:p>
      <w:r>
        <w:rPr>
          <w:b/>
        </w:rPr>
        <w:t>E. 22</w:t>
      </w:r>
    </w:p>
    <w:p>
      <w:r>
        <w:t>Il ressort de ces différentes dispositions que la prise en charge ou la reprise en charge par l'État membre responsable selon le Règlement ne peut concerner que les personnes qui ont introduit une demande de protection internationale (art. 18 ch. 1 point a) du Règlement), celles dont la demande est en cours d'examen (art. 18 ch. 1 point b) du Règlement), celle qui a retiré sa demande en cours d'examen (art. 18 ch. 1 point c) du Règlement) et enfin celle dont la demande a été rejetée (art. 18 ch. 1 point d) du Règlement).</w:t>
      </w:r>
    </w:p>
    <w:p>
      <w:r>
        <w:rPr>
          <w:b/>
        </w:rPr>
        <w:t>E. 23</w:t>
      </w:r>
    </w:p>
    <w:p>
      <w:r>
        <w:t>Quant à la rétention au sens de l'art. 28 du Règlement, elle ne peut être prononcée qu'en vue de garantir les procédures de transfert au sens de ce Règlement (art. 28 ch. 2 du Règlement). Par conséquent, si l'État sur le territoire duquel se trouve la personne concernée ne peut requérir d'un autre État membre la prise en charge ou la reprise en charge de cette personne, il n'est pas possible de prononcer la rétention de cette dernière.</w:t>
      </w:r>
    </w:p>
    <w:p>
      <w:r>
        <w:rPr>
          <w:b/>
        </w:rPr>
        <w:t>E. 24</w:t>
      </w:r>
    </w:p>
    <w:p>
      <w:r>
        <w:t>Il ressort également de ces dispositions que le bénéficiaire de la protection internationale est non seulement la personne qui obtient le statut de réfugié (art. 2 points a) et e) du Règlement 2011/95/UE, mais aussi celle qui obtient une protection subsidiaire, c'est-à-dire pour laquelle il y a des motifs sérieux et avérés de croire qu'en cas de renvoi dans son pays d'origine, elle courrait un risque réel de subir les atteintes graves définies à l'art. 15 de ce Règlement (art. 2 points a) et f) du Règlement 2011/95/UE).</w:t>
      </w:r>
    </w:p>
    <w:p>
      <w:r>
        <w:rPr>
          <w:b/>
        </w:rPr>
        <w:t>E. 25</w:t>
      </w:r>
    </w:p>
    <w:p>
      <w:r>
        <w:t>Il convient donc de distinguer clairement, d'une part, les personnes pour lesquelles une procédure de protection internationale est en cours, c'est-à-dire au sujet desquelles l'État responsable n'a pas encore statué, celles qui ont retiré leur demande est celle dont la demande a été refusée et, d'autre part, les personnes auxquelles la protection internationale a été accordée, que ce soit sous la forme du statut de réfugié ou en les mettant au bénéfice de la protection subsidiaire.</w:t>
      </w:r>
    </w:p>
    <w:p>
      <w:r>
        <w:rPr>
          <w:b/>
        </w:rPr>
        <w:t>E. 26</w:t>
      </w:r>
    </w:p>
    <w:p>
      <w:r>
        <w:t>Quant à la « protezione speciale » accordée par l'Italie, il s'agit d'un permis de séjour accordé aux requérants d'asile qui ne peut pas obtenir la protection internationale mais pour lesquelles l'autorité compétente a retenu un risque de persécution ou de torture dans le cas où elle rentrerait dans son pays d'origine (https://www.piemonteimmigrazione.it/faq/vivere-in-italia/protezione- internazionale/item/1373-che-cos-e-il-permesso-per-protezione- speciale#:~:text=%C3%88%20un%20permesso%20di%20soggiorno,rientro%20n el%20paese%20di%20origine. ; consulté le 14 avril 2022).</w:t>
      </w:r>
    </w:p>
    <w:p>
      <w:r>
        <w:t>- 9/10 - A/1153/2022</w:t>
      </w:r>
    </w:p>
    <w:p>
      <w:r>
        <w:rPr>
          <w:b/>
        </w:rPr>
        <w:t>E. 27</w:t>
      </w:r>
    </w:p>
    <w:p>
      <w:r>
        <w:t>En l'espèce, M. A______ dispose d'un permis de séjour accordé par l'Italie au motif de la « protezione speciale ». Aucun élément au dossier n'indique que ce statut lui aurait été accordé pour d'autres raisons que celles de la protection subsidiaire prévue par l'art. 2 points a) et f) du Règlement 2011/95/UE. Par conséquent, M. A______ doit donc être considéré comme une personne au bénéfice de la protection internationale, selon la définition qu'en donne l'art. 2 point f) du Règlement (UE) n° 604/2013. Il échappe ainsi aux catégories de personnes pour lesquelles existe une obligation de prise ou de reprise en charge prévue par l'art. 18 du Règlement et, par conséquent, contre lesquelles peut être prononcée une rétention au sens de l'art. 28 du Règlement. L'argumentation extrêmement succincte développée par le SEM dans son courriel du 14 avril 2022, qui ne cite aucune disposition légale et ne procède à aucune analyse des règlements européens susmentionnés, ne permet pas de retenir une autre conclusion que celle-ci.</w:t>
      </w:r>
    </w:p>
    <w:p>
      <w:r>
        <w:rPr>
          <w:b/>
        </w:rPr>
        <w:t>E. 28</w:t>
      </w:r>
    </w:p>
    <w:p>
      <w:r>
        <w:t>Au vu de ce qui précède, force est de constater que M. A______ ne répond pas aux conditions de détention prévue par l'art. 76a LEI.</w:t>
      </w:r>
    </w:p>
    <w:p>
      <w:r>
        <w:rPr>
          <w:b/>
        </w:rPr>
        <w:t>E. 29</w:t>
      </w:r>
    </w:p>
    <w:p>
      <w:r>
        <w:t>Vu la nature du litige, il ne sera pas perçu d'émolument.</w:t>
      </w:r>
    </w:p>
    <w:p>
      <w:r>
        <w:rPr>
          <w:b/>
        </w:rPr>
        <w:t>E. 30</w:t>
      </w:r>
    </w:p>
    <w:p>
      <w:r>
        <w:t>Une indemnité de procédure de CHF 800.- sera accordée à M. A______, à charge de l'État de Genève, soit pour lui le commissaire de police (art. 87 al. 2 LPA).</w:t>
      </w:r>
    </w:p>
    <w:p>
      <w:r>
        <w:rPr>
          <w:b/>
        </w:rPr>
        <w:t>E. 31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- 10/10 - A/1153/2022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