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JTAPI/382/2023 vom 4. April 2023</w:t>
      </w:r>
    </w:p>
    <w:p>
      <w:r>
        <w:t>GE Cour de justice, 2023-04-04, FR</w:t>
      </w:r>
    </w:p>
    <w:p>
      <w:r>
        <w:rPr>
          <w:b/>
        </w:rPr>
        <w:t xml:space="preserve">Quelle: </w:t>
      </w:r>
      <w:r>
        <w:t>https://mcp.opencaselaw.ch/entscheid/ge_gerichte_JTAPI_382_2023</w:t>
      </w:r>
    </w:p>
    <w:p>
      <w:r>
        <w:t>FR: GE_GERICHTE JTAPI/382/2023 du 4 avril 2023</w:t>
      </w:r>
    </w:p>
    <w:p>
      <w:r>
        <w:t>IT: GE_GERICHTE JTAPI/382/2023 del 4 aprile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recevabilité du recours suppose encore que ses auteurs disposent de la qualité pour recourir.</w:t>
      </w:r>
    </w:p>
    <w:p>
      <w:r>
        <w:rPr>
          <w:b/>
        </w:rPr>
        <w:t>E. 3.3</w:t>
      </w:r>
    </w:p>
    <w:p>
      <w:r>
        <w:t>; 2C_339/2020 du 5 janvier 2021 consid. 4.2.2), ni celui d'obtenir l'audition de témoins (ATF 130 II 425 consid. 2.1; arrêts du Tribunal fédéral 2C_725/2019 du</w:t>
      </w:r>
    </w:p>
    <w:p>
      <w:r>
        <w:rPr>
          <w:b/>
        </w:rPr>
        <w:t>E. 3.26</w:t>
      </w:r>
    </w:p>
    <w:p>
      <w:r>
        <w:t>m de la parcelle n° 4______, dépasse la distance légale aux limites de propriété, ce qui n'est pas admissible. Partant, l'autorisation de construire doit être annulée pour ce motif également.</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rPr>
          <w:b/>
        </w:rPr>
        <w:t>E. 6</w:t>
      </w:r>
    </w:p>
    <w:p>
      <w:r>
        <w:t>En l'espèce, les recourants sont propriétaires des parcelles directement voisines, respectivement à proximité immédiate de celle concernée par le projet litigieux.</w:t>
      </w:r>
    </w:p>
    <w:p>
      <w:r>
        <w:t>- 13/20 - A/2333/2022 Ils font par ailleurs valoir des griefs liés au droit de la construction, étant précisé qu'aucun grief tiré de la LForêts n'a été invoqué par les recourants dans le cadre du présent recours. Leur qualité pour recourir contre l'autorisation de construire sera donc admise.</w:t>
      </w:r>
    </w:p>
    <w:p>
      <w:r>
        <w:rPr>
          <w:b/>
        </w:rPr>
        <w:t>E. 7</w:t>
      </w:r>
    </w:p>
    <w:p>
      <w:r>
        <w:t>À titre préliminaire, les recourants sollicitent la tenue d'un transport sur place, la mise en œuvre d'une expertise judiciaire, leur comparution personnelle ainsi que l'audition des représentants de la commune.</w:t>
      </w:r>
    </w:p>
    <w:p>
      <w:r>
        <w:rPr>
          <w:b/>
        </w:rPr>
        <w:t>E. 8</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arrêts du Tribunal fédéral 1C_243/2013 du 27 septembre 2013 consid. 3.2.1 ; 1C 61/2011 du 4 mai 2011 consid. 3.1 ; ATA/720/2012 du 30 octobre 2012), ce qui n'est pas le cas à Genève. Par ailleurs, le droit d'être entendu ne comprend pas le droit d'être entendu oralement (cf. not. art. 41 in fine LPA ; ATF 140 I 68 consid. 9.6.1 ; 134 I 140 consid. 5.3 ; arrêts du Tribunal fédéral 2C_668/2020 du 22 janvier 2021 consid.</w:t>
      </w:r>
    </w:p>
    <w:p>
      <w:r>
        <w:rPr>
          <w:b/>
        </w:rPr>
        <w:t>E. 12</w:t>
      </w:r>
    </w:p>
    <w:p>
      <w:r>
        <w:t>Les recourants invoquent une violation de la procédure d'enregistrement et se prévalent de l'art. 59 al. 4bis LCI, estimant qu'une nouvelle demande d'autorisation de construire aurait dû être déposée et que, dans ce cadre, un préavis favorable de la commune était nécessaire.</w:t>
      </w:r>
    </w:p>
    <w:p>
      <w:r>
        <w:rPr>
          <w:b/>
        </w:rPr>
        <w:t>E. 13</w:t>
      </w:r>
    </w:p>
    <w:p>
      <w:r>
        <w:t>Selon l'art. 22 al. 2 let. a de la loi fédérale sur l’aménagement du territoire du 22 juin 1979 (LAT - RS 700), une autorisation de construire est délivrée si la construction ou l'installation est conforme à l'affectation de la zone.</w:t>
      </w:r>
    </w:p>
    <w:p>
      <w:r>
        <w:rPr>
          <w:b/>
        </w:rPr>
        <w:t>E. 14</w:t>
      </w:r>
    </w:p>
    <w:p>
      <w:r>
        <w:t>La 5ème zone genevoise est une zone résidentielle destinée aux villas (art. 19 al. 3 de la loi d'application de la loi fédérale sur l'aménagement du territoire du 4 juin 1987 (LaLAT - L 1 30)).</w:t>
      </w:r>
    </w:p>
    <w:p>
      <w:r>
        <w:t>- 15/20 - A/2333/2022</w:t>
      </w:r>
    </w:p>
    <w:p>
      <w:r>
        <w:rPr>
          <w:b/>
        </w:rPr>
        <w:t>E. 15</w:t>
      </w:r>
    </w:p>
    <w:p>
      <w:r>
        <w:t>Les al. 1, 4 et 5 de l'art. 59 LCI ont été modifiés le 1er octobre 2020 ; par ailleurs des al. 3bis, 4bis, 4ter ont été introduits à la même date. Ces modifications sont entrées en vigueur le 28 novembre 2020.</w:t>
      </w:r>
    </w:p>
    <w:p>
      <w:r>
        <w:rPr>
          <w:b/>
        </w:rPr>
        <w:t>E. 16</w:t>
      </w:r>
    </w:p>
    <w:p>
      <w:r>
        <w:t>L'art. 59 al. 4 LCI règle les rapports des surfaces en zone villas (5ème zone). Depuis le 28 novembre 2020, l'art. 59 al. 4bis LCI précise que «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l'alinéa 4, lettres a et b. Pour toutes les demandes d'autorisation de construire déposées avant le 1er janvier 2023 un préavis communal favorable est nécessaire ». Quand bien même elle n'est pas textuellement repris à l'art. 156 al. 5 LCI, l'intention du législateur était que toutes les nouvelles dispositions soient applicables seulement pour les demandes d'autorisation déposées après le 28 novembre 2020, ce que la chambre administrative de la Cour de justice (ci-après : la chambre administrative) a eu l'occasion de constater (ATA/439/2021 du 20 avril 2021 consid. 5, confirmé par arrêt du Tribunal fédéral 1C_315/2021 du 22 mars 2022).</w:t>
      </w:r>
    </w:p>
    <w:p>
      <w:r>
        <w:rPr>
          <w:b/>
        </w:rPr>
        <w:t>E. 17</w:t>
      </w:r>
    </w:p>
    <w:p>
      <w:r>
        <w:t>En l’espèce, la demande d’autorisation de construire litigieuse a été déposée le</w:t>
      </w:r>
    </w:p>
    <w:p>
      <w:r>
        <w:rPr>
          <w:b/>
        </w:rPr>
        <w:t>E. 19</w:t>
      </w:r>
    </w:p>
    <w:p>
      <w:r>
        <w:t>L'art. 59 al. 1 LCI porte sur le rapport de surface en cinquième zone à bâtir. Le rapport de 25 % peut être porté à 27,5 % lorsque la construction est conforme à un standard de HPE, respectivement à 30 % lorsqu'elle est conforme à un standard de</w:t>
      </w:r>
    </w:p>
    <w:p>
      <w:r>
        <w:t>- 16/20 - A/2333/2022 très haute performance énergétique, reconnue comme telle par le service compétent. Par surface de plancher prise en considération dans le calcul du rapport des surfaces, il faut entendre la SBP de la totalité de la construction hors sol (art. 59 al. 2 LCI). A teneur de l'art. 59 al. 3 LCI, lorsque les circonstances le justifient et que cette mesure est compatible avec le caractère, l’harmonie et l’aménagement du quartier, le département peut renoncer à prendre en considération dans le calcul du rapport des surfaces, la surface de plancher des combles dont la hauteur est inférieure à 1,8 m (let. a), des combles de peu d’importance, indépendamment du vide d’étages (let. b), des garages de dimensions modestes, lorsque ceux-ci font partie intégrante du bâtiment principal (let. c) et des serres, jardins d’hiver ou constructions analogues en matériaux légers et de dimensions modestes (let. d). L'art. 59 al. 4 let. a LCI prévoit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Les CDPI ne sont pas prises en considération pour le calcul du rapport des surfaces (art. 59 al. 7 LCI).</w:t>
      </w:r>
    </w:p>
    <w:p>
      <w:r>
        <w:rPr>
          <w:b/>
        </w:rPr>
        <w:t>E. 20</w:t>
      </w:r>
    </w:p>
    <w:p>
      <w:r>
        <w:t>Selon l'art. 29 RCI, la surface des constructions, selon l'article 59 LCI, comprend les constructions annexes faisant corps avec le bâtiment principal, à l’exclusion de celles qui seraient admises comme CDPI.</w:t>
      </w:r>
    </w:p>
    <w:p>
      <w:r>
        <w:rPr>
          <w:b/>
        </w:rPr>
        <w:t>E. 21</w:t>
      </w:r>
    </w:p>
    <w:p>
      <w:r>
        <w:t>Selon l'art. 3 al. 3 RCI, sont réputées CDPI,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c) une ligne horizontale de faîtage située à 4,50 m du sol au maximum. La même disposition prévoit encore que dans le cadre d'un projet de construction en ordre contigu ou sous forme d'habitat groupé, et afin d'améliorer l'insertion</w:t>
      </w:r>
    </w:p>
    <w:p>
      <w:r>
        <w:t>- 17/20 - A/2333/2022 dans le site et pour autant qu'il n'en résulte pas de gêne pour le voisinage, le département peut autoriser, après consultation de la commission d'architecture, des CDPI groupées d'une surface de plus de 50 m2 au total. Dans tous les cas, la surface totale des CDPI ne doit pas excéder 8% de la surface de la parcelle et au maximum 100 m2.</w:t>
      </w:r>
    </w:p>
    <w:p>
      <w:r>
        <w:rPr>
          <w:b/>
        </w:rPr>
        <w:t>E. 22</w:t>
      </w:r>
    </w:p>
    <w:p>
      <w:r>
        <w:t>Selon l’art. 69 al. 1 LCI, lorsqu’une construction n’est pas édifiée à la limite de propriétés privées, la distance entre cette construction et la limite doit être au moins égale à la hauteur du gabarit diminuée de 1 m (D ≥ H - 1). Sous réserve des dispositions des articles 67 et 68, la distance entre une construction et une limite de propriété ne peut être en aucun cas inférieure à 5 m (D ≥ 5) (art. 69 al. 2 LCI). Les distances entre constructions et limites de propriétés ou entre deux constructions doivent être également appliquées aux angles de ces constructions (art. 69 al. 3 LCI).</w:t>
      </w:r>
    </w:p>
    <w:p>
      <w:r>
        <w:rPr>
          <w:b/>
        </w:rPr>
        <w:t>E. 23</w:t>
      </w:r>
    </w:p>
    <w:p>
      <w:r>
        <w:t>La directive LCI n° 021-v7 donne, par le biais de schémas, des précisions sur la manière de calculer la SBP. Elle se calcule au nu de façade, sans déduire les embrasures de fenêtres. Il n'est pas fait mention de la surface habitable et/ou chauffée, ni des vides d'étage. Sous réserve des surfaces définies à l'art. 59 al. 3 LCI, les constructions annexes définies à l'art. 29 RCI ainsi que toute SBP qui est nécessaire à l'accessibilité des locaux d'habitation telle que les circulations verticales et horizontales, chauffées ou non (coursive, ascenseur, sas d'entrée vitré ou non) sont à prendre en compte.</w:t>
      </w:r>
    </w:p>
    <w:p>
      <w:r>
        <w:rPr>
          <w:b/>
        </w:rPr>
        <w:t>E. 24</w:t>
      </w:r>
    </w:p>
    <w:p>
      <w:r>
        <w:t>D'après la jurisprudence, afin d'assurer l'application uniforme de certaines dispositions légales, l'administration peut expliciter l'interprétation qu'elle leur donne dans des directives. Toutefois,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w:t>
      </w:r>
    </w:p>
    <w:p>
      <w:r>
        <w:rPr>
          <w:b/>
        </w:rPr>
        <w:t>E. 25</w:t>
      </w:r>
    </w:p>
    <w:p>
      <w:r>
        <w:t>La chambre administrative a déjà été amenée à considérer les piscines – pour autant que leur surface n’excède pas 50 m2 – comme des CDPI (ATA/1345/2015 du 15 décembre 2015 consid. 5, confirmé par arrêt du Tribunal fédéral 1C_55/2016 du 3 mars 2016 consid. 3.2). En revanche, selon la jurisprudence, il découle de la définition de l’art. 3 al. 3 RCI que la conséquence du dépassement de ces seuils sera que les constructions</w:t>
      </w:r>
    </w:p>
    <w:p>
      <w:r>
        <w:t>- 18/20 - A/2333/2022 concernées ne pourront pas être considérées comme des CDPI (arrêt du Tribunal fédéral 1C_641/2012 du 30 avril 2013 consid. 3.3 ; ATA/129/2023 du 7 février 2023 consid. 4d). En effet, dans un arrêt du 30 avril 2013, le Tribunal fédéral a confirmé qu’une piscine de 55 m2 ne pouvait être autorisée par le biais de la procédure accélérée prévue pour les CDPI à l’art. 3 al. 7 LCI (arrêt 1C_641/2012 consid. 3.3.). Dans un arrêt du 8 juin 2021, la chambre administrative a laissé la question de la qualification de CDPI d’une piscine de 30 m2 ouverte, celle-ci étant sans incidence sur la solution du litige (ATA/612/2021 consid. 5e). Dans un arrêt du 9 août 2022, elle a précisé qu’une piscine préexistante de 55 m2 ne pouvait être qualifiée de CDPI, d’une part parce que sa surface dépassait les 50 m2 et d’autre part parce qu’elle ne constituait pas une construction selon la définition donnée à l’art. 3 al. 3 RCI pour les CDPI (ATA/791/2022 consid. 4, lequel fait actuellement l'objet d'un recours au Tribunal fédéral). Enfin, dans un arrêt récent du 7 février 2023, elle a retenu qu'une piscine précédemment autorisée de 63,6 m2 ne pouvait être prise en compte à titre de CDPI « car [ce raisonnement] n’est pas conforme à l’art. 3 al. 3 RCI qui définit comme CDPI, des objets de 50 m2 maximum », ce qui signifie, a contrario, qu'une piscine de surface inférieure pourrait constituer une CDPI, la question de savoir si elle devrait être prise en compte au titre de SBP pouvant rester indécise dans la mesure où elle avait été autorisée et modifiée par des autorisations de construire entrées en force (ATA/129/2023 du 7 février 2023 consid. 4f). Le tribunal de céans a également précisé qu'une piscine, en tant qu'objet soumis à autorisation de construire, ne peut, de manière générale, être décrite que comme une CDPI si elle respecte les conditions fixées par l'art. 3 al. 3 RCI, ou sinon comme une construction soumise à la procédure d'autorisation ordinaire. Le fait qu'elle se situe en cinquième zone a certes pour conséquence qu'en dérogation avec ce qui précède, une piscine peut dans tous les cas être autorisée par voie de procédure accélérée (art. 3 al. 7 let. a LCI – à condition de ne nécessiter aucune dérogation), mais cela n'a cependant aucun rapport avec sa qualification en tant qu'éventuelle CDPI, en particulier sous l'angle du calcul du rapport de surfaces prévu par l'art. 59 LCI. Plus particulièrement, cette disposition, en fixant des rapports de surfaces maximum exprimés en m² de plancher, contraint l'autorité intimée à vérifier le respect de ces surfaces, tout en lui donnant la faculté de renoncer à prendre en considération certaines constructions spécifiques (art. 59 al. 3 LCI), de même que les CDPI (art. 59 al. 7 LCI). À défaut de bénéficier d'une telle « exonération », les constructions présentes ou prévues sur une parcelle située en cinquième zone doivent, par application a contrario de l'art. 59 LCI, être prises en considération dans la surface de plancher maximum autorisée (JTAPI/377/2022 du 13 avril 2022 consid. 14).</w:t>
      </w:r>
    </w:p>
    <w:p>
      <w:r>
        <w:t>- 19/20 - A/2333/2022</w:t>
      </w:r>
    </w:p>
    <w:p>
      <w:r>
        <w:rPr>
          <w:b/>
        </w:rPr>
        <w:t>E. 26</w:t>
      </w:r>
    </w:p>
    <w:p>
      <w:r>
        <w:t>Au vu de l'ensemble de ces éléments, le tribunal considère qu'il doit être retenu que, quand les piscines n'entrent pas dans la notion de CDPI telle que définie par l’art. 3 al. 3 RCI, soit en particulier lorsque leur surface dépasse la limite fixée à 50 m2, elles doivent être prises en considération dans le calcul de la SBP autorisée.</w:t>
      </w:r>
    </w:p>
    <w:p>
      <w:r>
        <w:rPr>
          <w:b/>
        </w:rPr>
        <w:t>E. 27</w:t>
      </w:r>
    </w:p>
    <w:p>
      <w:r>
        <w:t>En l'espèce, c'est donc à tort que le département n’a pas pris en compte dans le calcul de la SBP la surface de la piscine, celle-ci ne pouvant pas être considérée comme une CDPI au vu de sa surface supérieure à 50 m2. Selon l'extrait de la mensuration officielle et du registre foncier, le terrain qui accueillera la future construction s'étend sur une surface de 1'802 m2. La SBP habitable – non contestée – totalise 864.71 m2. S'agissant de la piscine, il ressort des plans visés ne varietur le 9 juin 2022 que sa surface totalise 60.80 m2 et non pas 75.56 m2, contrairement à ce qu'avancent les recourants. En additionnant la surface de la piscine à la SBP, on parvient à une surface totale de la SBP de 925.51 m2, correspondant à un taux de 51.36 %, lequel dépasse ainsi le coefficient maximal dérogatoire de 48 %. Partant, l’autorisation de construire doit être annulée pour ce motif. En outre, il ressort clairement de l'extrait du plan cadastral enregistré le 23 novembre 2021 et visé ne varietur le 9 juin 2022 que la piscine querellée, qui est une construction, située à 2.59 m de la parcelle n° 12______, respectivement à</w:t>
      </w:r>
    </w:p>
    <w:p>
      <w:r>
        <w:rPr>
          <w:b/>
        </w:rPr>
        <w:t>E. 28</w:t>
      </w:r>
    </w:p>
    <w:p>
      <w:r>
        <w:t>Le recours sera admis et l’autorisation de construire annulée. Vu cette conclusion, nul n’est besoin d’examiner les autres griefs présentés.</w:t>
      </w:r>
    </w:p>
    <w:p>
      <w:r>
        <w:rPr>
          <w:b/>
        </w:rPr>
        <w:t>E. 29</w:t>
      </w:r>
    </w:p>
    <w:p>
      <w:r>
        <w:t>En application des art. 87 al. 1 LPA et 1 et 2 du règlement sur les frais, émoluments et indemnités en procédure administrative du 30 juillet 1986 (RFPA - E 5 10.03), M. J______ et K______, pris conjointement et solidairement, qui succombent, sont condamnés au paiement d’un émolument s'élevant à CHF 900.-. Les recourants, qui obtiennent gain de cause, sont exonérés de tout émolument, leur avance de frais de CHF 900.- leur sera restituée.</w:t>
      </w:r>
    </w:p>
    <w:p>
      <w:r>
        <w:rPr>
          <w:b/>
        </w:rPr>
        <w:t>E. 30</w:t>
      </w:r>
    </w:p>
    <w:p>
      <w:r>
        <w:t>Vu l'issue du litige, une indemnité de procédure de CHF 3'000.-, à la charge conjointe et solidaire de M. J______ et K______, sera allouée aux recourants (art. 87 al. 2 à 4 LPA et 6 RFPA).</w:t>
      </w:r>
    </w:p>
    <w:p>
      <w:r>
        <w:t>- 20/20 - A/2333/2022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