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JTAPI/372/2025 vom 8. April 2025</w:t>
      </w:r>
    </w:p>
    <w:p>
      <w:r>
        <w:t>GE Cour de justice, 2025-04-08, FR</w:t>
      </w:r>
    </w:p>
    <w:p>
      <w:r>
        <w:rPr>
          <w:b/>
        </w:rPr>
        <w:t xml:space="preserve">Quelle: </w:t>
      </w:r>
      <w:r>
        <w:t>https://mcp.opencaselaw.ch/entscheid/ge_gerichte_JTAPI_372_2025</w:t>
      </w:r>
    </w:p>
    <w:p>
      <w:r>
        <w:t>FR: GE_GERICHTE JTAPI/372/2025 du 8 avril 2025</w:t>
      </w:r>
    </w:p>
    <w:p>
      <w:r>
        <w:t>IT: GE_GERICHTE JTAPI/372/2025 del 8 aprile 2025</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 Interjeté en temps utile, c’est-à-dire dans le délai de dix jours, s’agissant d’une décision incidente (art. 4 al. 2 de la loi sur la procédure administrative du 12</w:t>
      </w:r>
    </w:p>
    <w:p>
      <w:r>
        <w:t>- 6/13 - A/3382/2024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 En l'espèce, la décision querellée indique précisément qu'un éventuel recours a effet suspensif.</w:t>
      </w:r>
    </w:p>
    <w:p>
      <w:r>
        <w:rPr>
          <w:b/>
        </w:rPr>
        <w:t>E. 2</w:t>
      </w:r>
    </w:p>
    <w:p>
      <w:r>
        <w:t>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3</w:t>
      </w:r>
    </w:p>
    <w:p>
      <w:r>
        <w:t>En l'espèce, la décision querellée stipule que bien que saisi le 30 mai 2024, le permis du recourant lui a été restitué provisoirement le 9 juin 2024. Par contre, les frais d'expertise seront mis à sa charge si bien que la condition du préjudice irréparable est réalisée, ce que le recourant a par ailleurs expliqué dans son recours.</w:t>
      </w:r>
    </w:p>
    <w:p>
      <w:r>
        <w:t>- 7/13 - A/3382/2024 Partant, les conditions de l'art. 57 let. c LPA sont réalisées, si bien qu'il convient d'entrer en matière (cf. arrêts du Tribunal fédéral 1C_531/2016 du 22 février 2017 consid. 1 ; 1C_593/2012 du 28 mars 2013 consid. 1).</w:t>
      </w:r>
    </w:p>
    <w:p>
      <w:r>
        <w:rPr>
          <w:b/>
        </w:rPr>
        <w:t>E. 3.1</w:t>
      </w:r>
    </w:p>
    <w:p>
      <w:r>
        <w:t>; 6A.33/2001 et 35/2001 du 30 mai 2001 consid. 3a), le pronostic devant être posé sur la base des antécédents du conducteur et de sa situation personnelle (ATF 139 II 95 consid. 3.4.1 ; 125 II 492 consid. 2a). En cas de doute, il y a lieu d'ordonner un examen médical (art. 11b al. 1 let. b de l'ordonnance du 27 octobre 1976 réglant l'admission des personnes et des véhicules à la circulation routière [OAC; RS 741.51]; ATF 139 II 95 consid. 3.4.1 ; arrêt 1C_307/2007 du 17 décembre 2007 consid. 3.2),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4</w:t>
      </w:r>
    </w:p>
    <w:p>
      <w:r>
        <w:t>Le recourant se plaint de la forme de notification de la décision.</w:t>
      </w:r>
    </w:p>
    <w:p>
      <w:r>
        <w:rPr>
          <w:b/>
        </w:rPr>
        <w:t>E. 5</w:t>
      </w:r>
    </w:p>
    <w:p>
      <w:r>
        <w:t>Selon le Tribunal fédéral (arrêt 2C_1021/2018 du 26 juin 2019 consid. 4.2),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5D_212/2016 du 7 février 2017 consid. 3.1; 1C_15/2016 du 1er septembre 2016 consid. 2.2).</w:t>
      </w:r>
    </w:p>
    <w:p>
      <w:r>
        <w:rPr>
          <w:b/>
        </w:rPr>
        <w:t>E. 6</w:t>
      </w:r>
    </w:p>
    <w:p>
      <w:r>
        <w:t>En l'espèce, la décision aurait dû être notifiée au mandataire du recourant. Toutefois, cette notification irrégulière a atteint son but et le recourant n'a subi aucun préjudice, de sorte que ce grief doit être écarté.</w:t>
      </w:r>
    </w:p>
    <w:p>
      <w:r>
        <w:rPr>
          <w:b/>
        </w:rPr>
        <w:t>E. 7</w:t>
      </w:r>
    </w:p>
    <w:p>
      <w:r>
        <w:t>Le recourant se plaint d’une violation de son droit d’être entendu, sous l’angle du droit à l’accès au dossier : alors qu’il avait sollicité un accès complet au dossier, il n'avait pas pu prendre connaissance des images de vidéosurveillance nonobstant plusieurs demandes explicites.</w:t>
      </w:r>
    </w:p>
    <w:p>
      <w:r>
        <w:rPr>
          <w:b/>
        </w:rPr>
        <w:t>E. 8</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9</w:t>
      </w:r>
    </w:p>
    <w:p>
      <w:r>
        <w:t>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w:t>
      </w:r>
    </w:p>
    <w:p>
      <w:r>
        <w:t>- 8/13 - A/3382/2024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10</w:t>
      </w:r>
    </w:p>
    <w:p>
      <w:r>
        <w:t>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 fédéral 8C_257/2019 du 12 mai 2020 consid. 2.5 ; ATA/321/2024 du 5 mars 2024 consid. 4.7).</w:t>
      </w:r>
    </w:p>
    <w:p>
      <w:r>
        <w:rPr>
          <w:b/>
        </w:rPr>
        <w:t>E. 11</w:t>
      </w:r>
    </w:p>
    <w:p>
      <w:r>
        <w:t>En l'espèce, le recourant fait grief à l'autorité intimée d'avoir prononcé la décision querellée sans lui avoir offert l'opportunité de se prononcer sur les images de vidéosurveillance versées au dossier. Force est de constater que le recourant a pu accéder au dossier complet à partir du</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13</w:t>
      </w:r>
    </w:p>
    <w:p>
      <w:r>
        <w:t>Il y a en particulier abus du pouvoir d'appréciation lorsque l'autorité se fonde sur des considérations qui manquent de pertinence et sont étrangères au but visé par les</w:t>
      </w:r>
    </w:p>
    <w:p>
      <w:r>
        <w:t>- 9/13 - A/3382/2024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14</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15</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16</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17</w:t>
      </w:r>
    </w:p>
    <w:p>
      <w:r>
        <w:t>Les faits objet des hypothèses de l’art. 15d al. 1 LCR fondent un soupçon préalable que l'aptitude à la conduite pourrait être réduite (arrêt du Tribunal fédéral 1C_531/2016 du 22 février 2017 consid. 2.1.1 ; ATA/11/2023 du 10 janvier 2023 et les références citées).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w:t>
      </w:r>
    </w:p>
    <w:p>
      <w:r>
        <w:rPr>
          <w:b/>
        </w:rPr>
        <w:t>E. 19</w:t>
      </w:r>
    </w:p>
    <w:p>
      <w:r>
        <w:t>Aux termes de l'art. 16d al. 1 let. a LCR, le permis d'élève conducteur ou le permis de conduire est retiré pour une durée indéterminée à la personne dont les aptitudes physiques et psychiques ne lui permettent pas ou plus de conduire avec sûreté un véhicule automobile.</w:t>
      </w:r>
    </w:p>
    <w:p>
      <w:r>
        <w:rPr>
          <w:b/>
        </w:rPr>
        <w:t>E. 20</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21</w:t>
      </w:r>
    </w:p>
    <w:p>
      <w:r>
        <w:t>La décision de retrait de sécurité du permis de conduire constitue une atteinte grave à la sphère privée de l'intéressé ; elle doit donc reposer sur une instruction précise des circonstances déterminantes (ATF 139 II 95 consid. 3.4.1 ; 133 II 284 consid.</w:t>
      </w:r>
    </w:p>
    <w:p>
      <w:r>
        <w:rPr>
          <w:b/>
        </w:rPr>
        <w:t>E. 22</w:t>
      </w:r>
    </w:p>
    <w:p>
      <w:r>
        <w:t>Un tel doute peut reposer sur de simples indices (cf. arrêt du Tribunal fédéral 1C_593/2012 du 28 mars 2013 consid. 3.1). En revanche, lorsqu'il est question de retrait du permis à titre préventif, il doit exister des doutes sérieux quant à l'aptitude à conduire de l'intéressé (art. 40 OAC) arrêt du Tribunal fédéral 1C_593/2012 du 28 mars 2013 consid. 3.1).</w:t>
      </w:r>
    </w:p>
    <w:p>
      <w:r>
        <w:rPr>
          <w:b/>
        </w:rPr>
        <w:t>E. 23</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w:t>
      </w:r>
    </w:p>
    <w:p>
      <w:r>
        <w:rPr>
          <w:b/>
        </w:rPr>
        <w:t>E. 28</w:t>
      </w:r>
    </w:p>
    <w:p>
      <w:r>
        <w:t>mars 2013 consid. 3.1 ; 1C_248/2011 du 30 janvier 2012 consid. 3.1 ; 1C_282/2007 du 13 février 2008 consid. 2.2 ; 6A.33/2001 et 35/2001 du 30 mai 2001 consid. 3a).</w:t>
      </w:r>
    </w:p>
    <w:p>
      <w:r>
        <w:t>- 11/13 - A/3382/2024 24. En l'espèce, la question à trancher est celle de savoir s'il existe des doutes suffisants quant à l'aptitude à la conduite du recourant, susceptibles de justifier la mise en œuvre d'une expertise. Pour fonder sa décision, l’autorité intimée s'appuie sur le fait qu'il ressort des images de caméra ayant enregistré une partie des faits que le recourant avait circulé sur deux voies de circulation avant de suivre volontairement le motocycliste auquel il avait barré à trois reprises la route, tout en circulant à une vitesse inadaptée aux conditions. Il avait également tenté de lui saisir le bras. Sur la base des autres pièces du dossier, et notamment du rapport de police, l'autorité intimée a également retenu que le recourant avait ensuite circulé sur une piste cyclable afin de dépasser le motocycle par la droite en effectuant des freinages intempestifs après l'avoir dépassé. Il avait également forcé le motocycle contre une séparation des voies en béton avant que la course ne soit interrompue par l'intervention des forces de l'ordre. En agissant ainsi, il avait mis en danger non seulement le motocycliste mais également les autres usagers de la route. De plus, ces faits avaient été commis alors qu'il circulait en état d'ébriété en présentant un taux d'alcool qualifié, soit une concentration d'alcool dans l'air expiré de 0,49 mg/l à l'éthylomètre. Le tribunal de céans constate que dans le cadre de la procédure pénale, à ce stade, seule l'infraction de mise en danger de la vie d'autrui a été écartée mais que certains faits sont aujourd'hui établis. En effet, M A______ a confirmé lors de son audition par la police, avoir consommé de l'alcool, avoir pris part à un conflit routier, ne pas avoir respecté les distances de sécurité et avoir tenté de saisir le bras du motocycliste. Dans le cadre de la présente procédure, il a encore admis qu'il s'était énervé, qu'il avait pris part à un conflit routier tout en étant sous l'emprise de l'alcool. Quant aux images de vidéosurveillances, elles suffisent à démontrer que le recourant a mis en danger la sécurité des autres usagers de la route, en ne respectant pas les distances de sécurité, en barrant la route au motocycliste et en empruntant deux voies de circulation. Ainsi, c’est à juste titre que l’OCV conçoit des doutes sérieux sur son aptitude à la conduite et a ordonné une expertise auprès d'un psychologue du trafic, étant rappelé que de simples indices suffisent et que l'absence d'antécédent ne permet pas, dans le cas d'espèce, d'attester qu’il respectera les règles en vigueur ainsi que les autres usagers de la route en l'absence d'une expertise. Ce d'autant plus que le recourant n'a démontré, devant le tribunal de céans, aucune prise de conscience des conséquences que le comportement qu'il a adopté aurait pu entrainer. Dans l'arrêt cité par le recourant, le Tribunal fédéral a constaté que la procédure pénale n'avait pas encore pu établir comment l'incident contesté s'était déroulé et</w:t>
      </w:r>
    </w:p>
    <w:p>
      <w:r>
        <w:t>- 12/13 - A/3382/2024 quel était le rôle du recourant. Tel n'est pas le cas en l'espèce, dès lors que le recourant a admis une partie des faits qui lui sont reprochés et que le visionnement des images de vidéosurveillance versées au dossier apparaît suffisant à justifier le bienfondé de la décision querellée. Mal fondé, le recours sera rejeté. En application des art. 87 al. 1 LPA et 1 et 2 du règlement sur les frais, émoluments et indemnités en procédure administrative du</w:t>
      </w:r>
    </w:p>
    <w:p>
      <w:r>
        <w:rPr>
          <w:b/>
        </w:rPr>
        <w:t>E. 30</w:t>
      </w:r>
    </w:p>
    <w:p>
      <w:r>
        <w:t>juillet 1986 (RFPA - E 5 10.03), le recourant, qui succombe, est condamné au paiement d’un émolument s'élevant à CHF 500.- ; il est couvert par l’avance de frais versée à la suite du dépôt du recours. 25. Vu l’issue du litige, aucune indemnité de procédure ne sera allouée (art. 87 al. 2 LPA)</w:t>
      </w:r>
    </w:p>
    <w:p>
      <w:r>
        <w:t>- 13/13 - A/3382/2024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