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JTAPI/369/2022 vom 2. Dezember 2021</w:t>
      </w:r>
    </w:p>
    <w:p>
      <w:r>
        <w:t>GE Cour de justice, 2021-12-02, FR</w:t>
      </w:r>
    </w:p>
    <w:p>
      <w:r>
        <w:rPr>
          <w:b/>
        </w:rPr>
        <w:t xml:space="preserve">Quelle: </w:t>
      </w:r>
      <w:r>
        <w:t>https://mcp.opencaselaw.ch/entscheid/ge_gerichte_JTAPI_369_2022</w:t>
      </w:r>
    </w:p>
    <w:p>
      <w:r>
        <w:t>FR: GE_GERICHTE JTAPI/369/2022 du 2 décembre 2021</w:t>
      </w:r>
    </w:p>
    <w:p>
      <w:r>
        <w:t>IT: GE_GERICHTE JTAPI/369/2022 del 2 dicembre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5</w:t>
      </w:r>
    </w:p>
    <w:p>
      <w:r>
        <w:t>Le recourant est d'avis que les faits du 6 septembre 2021 qui lui sont reprochés ne seraient pas suffisants pour douter de son aptitude à la conduite au point de l'obliger à se soumettre à une expertise au sens de l'art. 15d al. 1 let. c LCR.</w:t>
      </w:r>
    </w:p>
    <w:p>
      <w:r>
        <w:rPr>
          <w:b/>
        </w:rPr>
        <w:t>E. 6</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t>- 5/7 - A/4212/2021</w:t>
      </w:r>
    </w:p>
    <w:p>
      <w:r>
        <w:rPr>
          <w:b/>
        </w:rPr>
        <w:t>E. 7</w:t>
      </w:r>
    </w:p>
    <w:p>
      <w:r>
        <w:t>Si l'aptitude à la conduite soulève des doutes, la personne concernée fait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8</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rPr>
          <w:b/>
        </w:rPr>
        <w:t>E. 9</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et 3.2 et les arrêts cités ; arrêt du Tribunal fédéral 1C_580/2017 du 1er octobre 2018 consid. 2.1).</w:t>
      </w:r>
    </w:p>
    <w:p>
      <w:r>
        <w:rPr>
          <w:b/>
        </w:rPr>
        <w:t>E. 10</w:t>
      </w:r>
    </w:p>
    <w:p>
      <w:r>
        <w:t>En l'espèce, il ressort du dossier et des déclarations du recourant dans son acte de recours, que s'il conteste la détermination exacte de l'excès de vitesse et, ce faisant, sa potentielle qualification de délit de chauffard, il reconnait néanmoins s'être laissé emporter par la vitesse et avoir circulé à environ 100 km/h dans une localité où la vitesse est limitée à 50 km/h, au motif qu'il était en retard pour aller fêter son anniversaire au restaurant. De surcroît, il admet lui-même dans son acte de recours qu' « il est hautement vraisemblable que l'excès de vitesse maximal qui puisse [lui] être reproché […] est de 49 km/h ». Dans le cadre de la présente procédure, il n'importe pas de connaître avec exactitude l'écart entre la vitesse constatée et la vitesse maximale autorisée. Il suffit que des indices concrets soulèvent des doutes quant à l'aptitude à la conduite de la personne concernée. Or, il sied de relever que le recourant admet, à tout le moins, avoir commis un excès de vitesse de 49 km/h, c'est-à-dire d'avoir roulé à une vitesse très largement</w:t>
      </w:r>
    </w:p>
    <w:p>
      <w:r>
        <w:t>- 6/7 - A/4212/2021 supérieure à celle à partir de laquelle la jurisprudence retient la commission d'une infraction grave sur une route située en localité. Il ressort également du rapport de renseignement de la police routière du 11 septembre 2021, versé au dossier de l'OCV, que le recourant est uniquement détenteur d'un permis d'élève conducteur. Il ressort ensuite du procès-verbal d'audition de la police du 12 septembre 2021 qu'il admet avoir sciemment dépassé la vitesse maximale autorisée, en circulant jusqu'à environ 100 km/h, mettant ainsi gravement en danger les autres usagers de la route afin de ne pas être en retard au restaurant pour son anniversaire, soit en expliquant cette grave mise en danger par un motif tout à fait futile. À cet égard, il déclare ne pas s'être rendu compte de la vitesse. À la lumière de ces éléments, il est manifeste qu'il existe des indices concrets soulevant des doutes sérieux quant à l'inaptitude à la conduite du recourant, quand bien même il n'a pas d'antécédent, ce qui justifie dès lors sa soumission à une expertise d'évaluation de son aptitude à la conduite.</w:t>
      </w:r>
    </w:p>
    <w:p>
      <w:r>
        <w:rPr>
          <w:b/>
        </w:rPr>
        <w:t>E. 11</w:t>
      </w:r>
    </w:p>
    <w:p>
      <w:r>
        <w:t>Partant, le grief est à écarter.</w:t>
      </w:r>
    </w:p>
    <w:p>
      <w:r>
        <w:rPr>
          <w:b/>
        </w:rPr>
        <w:t>E. 12</w:t>
      </w:r>
    </w:p>
    <w:p>
      <w:r>
        <w:t>Mal fondé, le recours est rejeté.</w:t>
      </w:r>
    </w:p>
    <w:p>
      <w:r>
        <w:rPr>
          <w:b/>
        </w:rPr>
        <w:t>E. 13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t>- 7/7 - A/4212/2021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