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JTAPI/364/2022 vom 18. Juli 2014</w:t>
      </w:r>
    </w:p>
    <w:p>
      <w:r>
        <w:t>GE Cour de justice, 2014-07-18, FR</w:t>
      </w:r>
    </w:p>
    <w:p>
      <w:r>
        <w:rPr>
          <w:b/>
        </w:rPr>
        <w:t xml:space="preserve">Quelle: </w:t>
      </w:r>
      <w:r>
        <w:t>https://mcp.opencaselaw.ch/entscheid/ge_gerichte_JTAPI_364_2022</w:t>
      </w:r>
    </w:p>
    <w:p>
      <w:r>
        <w:t>FR: GE_GERICHTE JTAPI/364/2022 du 18 juillet 2014</w:t>
      </w:r>
    </w:p>
    <w:p>
      <w:r>
        <w:t>IT: GE_GERICHTE JTAPI/364/2022 del 18 luglio 2014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LEI ; 9 al. 3 LaLEtr).</w:t>
      </w:r>
    </w:p>
    <w:p>
      <w:r>
        <w:rPr>
          <w:b/>
        </w:rPr>
        <w:t>E. 2</w:t>
      </w:r>
    </w:p>
    <w:p>
      <w:r>
        <w:t>En l'espèce, le tribunal a été valablement saisi et respecte le délai précité en statuant ce jour, la détention administrative ayant débuté le 6 avril 2022 à 9h00.</w:t>
      </w:r>
    </w:p>
    <w:p>
      <w:r>
        <w:rPr>
          <w:b/>
        </w:rPr>
        <w:t>E. 3</w:t>
      </w:r>
    </w:p>
    <w:p>
      <w:r>
        <w:t>Le tribunal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w:t>
      </w:r>
    </w:p>
    <w:p>
      <w:r>
        <w:t>- 7/12 - A/1094/2022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w:t>
      </w:r>
    </w:p>
    <w:p>
      <w:r>
        <w:rPr>
          <w:b/>
        </w:rPr>
        <w:t>E. 6</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w:t>
      </w:r>
    </w:p>
    <w:p>
      <w:r>
        <w:t>- 8/12 - A/1094/2022 son concours à l’exécution du refoulement, soit qu’il se conformera aux instructions de l’autorité et regagnera son pays d’origine le moment venu, c’est-à- dire lorsque les conditions seront réunies ; dans ce cadre, il dispose d’une certaine marge d’appréciation (arrêts du Tribunal fédéral 2C_935/2011 du 7 décembre 2011 consid. 3.3 ; 2C_806/2010 du 21 octobre 2010 consid. 2.1 ; 2C_400/2009 du 16 juillet 2009 consid. 3.1).</w:t>
      </w:r>
    </w:p>
    <w:p>
      <w:r>
        <w:rPr>
          <w:b/>
        </w:rPr>
        <w:t>E. 7</w:t>
      </w:r>
    </w:p>
    <w:p>
      <w:r>
        <w:t>En l'espèce, M. A______ fait l'objet d'une décision de renvoi de Suisse prise le 18 juillet 2014, qu'il n'a à ce jour, à teneur du dossier, pas exécutée. Il a par ailleurs fait l'objet de plusieurs condamnations pénales, notamment pour vol infraction constitutive de crime. Force est en outre de constater que le comportement qu'il a adopté depuis qu'il est arrivé en Suisse pour la première fois dénote une insensibilité aux décisions prononcées à son encontre. Dans ces conditions, on peut admettre l'existence d'un risque réel et concret que s'il devait être libéré à présent, il n'obtempérerait pas aux instructions de l'autorité, lorsque celle-ci lui ordonnera de se présenter à elle en vue de son renvoi en Tunisie, et qu'il pourra être amené à disparaître dans la clandestinité, comme il l'a déjà fait, situation visée par le motif de détention prévu par l'art. 76 al. 1 let. b ch. 3 et 4 LEI. Les conditions d'une détention administrative sont ainsi réalisées et celle-ci s'avère fondée dans son principe.</w:t>
      </w:r>
    </w:p>
    <w:p>
      <w:r>
        <w:rPr>
          <w:b/>
        </w:rPr>
        <w:t>E. 8</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10</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t>- 9/12 - A/1094/2022</w:t>
      </w:r>
    </w:p>
    <w:p>
      <w:r>
        <w:rPr>
          <w:b/>
        </w:rPr>
        <w:t>E. 11</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12</w:t>
      </w:r>
    </w:p>
    <w:p>
      <w:r>
        <w:t>Selon l'art. 79 LEI, la détention administrative ne peut excéder six mois au total, cette durée maximale pouvant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13</w:t>
      </w:r>
    </w:p>
    <w:p>
      <w:r>
        <w:t>En outre, la durée de la détention administrative doit respecter le principe de la proportionnalité (ATF 125 I 474 consid. 3 et les arrêts cités ; arrêt du Tribunal fédéral 1P.269/2001 du 7 juin 2001 consid. 2c ; ATA/752/2012 du 1er novembre 2012 consid. 7). Pour établir la durée de la détention, il faut partir du moment de la détention effective de l’intéressé pour des motifs tirés du droit des étrangers. Pour le surplus, le mois et l’année sont comptés de quantième à quantième (allemand : « nach der Kalenderzeit »), par analogie avec l’art. 110 ch. 6 CP (Gregor CHATTON et Laurent MERZ, op. cit. p. 849).</w:t>
      </w:r>
    </w:p>
    <w:p>
      <w:r>
        <w:rPr>
          <w:b/>
        </w:rPr>
        <w:t>E. 14</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(cf. ATF 130 II 56 consid. 4.1.1 ; 122 II 148 consid. 3 ; arrêts du Tribunal fédéral 2C_560/2021 du 3 août 2021 consid. 7.1 ; 2C_634/2020 et 2C_635/2020 du 3 septembre 2020 consid. 6.1 ; 2C_597/2020 du 3 août 2020 consid. 4.1).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(arrêts du Tribunal fédéral 2C_634/2020 et 2C_635/2020 du 3 septembre 2020 consid. 6.1 ; 2C_597/2020 du 3 août 2020 consid. 4.1 ; 2C_672/2019 du 22 août 2019 consid. 5.1 et les arrêts cités). L'exécution du refoulement n'est en outre pas possible lorsque celui-ci se heurte à des obstacles objectifs et durables d'ordre technique (arrêt du Tribunal administratif fédéral C-4183/2011 du 16 janvier 2012 consid. 3.5 ; ATA/567/2016 du 1er juillet 2016 consid. 8c ; ATA/738/2013 du 5 novembre 2013 consid. 10 ; ATA/705/2013 du 25 octobre 2013 consid. 8 ; ATA/88/2013 du 18 février 2013 consid. 10).</w:t>
      </w:r>
    </w:p>
    <w:p>
      <w:r>
        <w:t>- 10/12 - A/1094/2022</w:t>
      </w:r>
    </w:p>
    <w:p>
      <w:r>
        <w:rPr>
          <w:b/>
        </w:rPr>
        <w:t>E. 15</w:t>
      </w:r>
    </w:p>
    <w:p>
      <w:r>
        <w:t>Enfin, 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16</w:t>
      </w:r>
    </w:p>
    <w:p>
      <w:r>
        <w:t>En l'occurrence, M. A______ s'opposant à son renvoi et ayant déjà disparu à deux reprises dans la clandestinité, il apparaît évident que sa mise en détention administrative est le seul moyen de s'assurer de sa présence au moment où il pourra prendre place à bord d'un vol pour la Tunisie. Par ailleurs, l'exécution de son renvoi répond à un intérêt public qui l'emporte sur son intérêt privé, son comportement en Suisse n'ayant de loin pas été exemplaire. Enfin, les autorités suisses ont agi avec diligence en vue de son renvoi. Il convient au surplus de rappeler que le refus de se prêter à un test PCR-COVID-</w:t>
      </w:r>
    </w:p>
    <w:p>
      <w:r>
        <w:rPr>
          <w:b/>
        </w:rPr>
        <w:t>E. 19</w:t>
      </w:r>
    </w:p>
    <w:p>
      <w:r>
        <w:t>permet de considérer que la personne concernée ne se prête pas à la collaboration que l'on peut attendre de sa part en vue de l'exécution de son renvoi et qu'elle met ainsi en échec cette mesure, attitude qui peut justifier une mise en détention administrative ou le maintien de cette détention, sous réserve d'autres circonstances impliquant le principe de proportionnalité (arrêts 2C_280/2021 du</w:t>
      </w:r>
    </w:p>
    <w:p>
      <w:r>
        <w:rPr>
          <w:b/>
        </w:rPr>
        <w:t>E. 22</w:t>
      </w:r>
    </w:p>
    <w:p>
      <w:r>
        <w:t>avril 2021 consid. 2.2.3; 2C-35/2021 du 10 février 2021 consid. 3.5.1). Par conséquent, contrairement à ce que semble penser M. A______, le fait qu'il refuse de se prêter à un test de dépistage du COVID ne signifie pas que son renvoi est impossible et qu'il s'imposerait donc de lever sa détention. Il en va de même du fait qu'il ne souhaite pas rentrer volontairement en Tunisie, l'opposition à un départ de Suisse étant précisément ce qui peut conduire à une détention administrative, et non pas ce qui la délégitime. S'agissant enfin de son projet de mariage avec une ressortissante Suisse, comme déjà retenu par le tribunal de céans, il est exorbitant à la présente procédure. En l'état, seul compte le fait que M. A______ ne dispose d'aucun titre de séjour et qu'il fait l'objet d'un renvoi de Suisse en force et exécutoire. L'art. 8 § 1 de la convention de sauvegarde des droits de l’homme et des libertés fondamentales du 4 novembre 1950 (CEDH - RS 0.101), qui vivent avant tout les relations qui</w:t>
      </w:r>
    </w:p>
    <w:p>
      <w:r>
        <w:t>- 11/12 - A/1094/2022 existent entre époux ainsi que les relations entre parents et enfants mineurs vivant en ménage commun (ATF 127 II 60 consid. 1d/aa ; 120 Ib 257 consid. 1d ; ATA/519/2017 du 9 mai 2017), ne lui est au demeurant d'aucun secours, étant rappelé que M. A______ et Mme F______ ne sont pas mariés, qu'ils ne vivent pas même en ménage commun et que, de jurisprudence constante, 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 89 ; ATF 116 Ib 353 consid. 3e-f ; arrêt du Tribunal fédéral 2C_858/2008 du 24 avril 2009 consid. 5.3). Au vu de ce qui précède, l'impossibilité du renvoi de M. A______ n'apparaît pas patente et ne peut être prise en compte par le tribunal, en sa qualité de juge de la détention. En dernier lieu, dans la mesure où, à nouveau, M. A______ s'oppose à son renvoi, ce qui laisse présager des démarches plus longues et compliquées en vue d'exécuter ce dernier, la durée de sa détention apparait proportionnée et adéquate. La durée de la détention de six mois, au sens de l'art. 79 al. 1 LEI, n'est pour le surplus de loin pas atteinte, dans la mesure où la détention administrative de l'intéressé n'a été que d'un peu plus d'un mois avant sa détention pénale (soit du 3 décembre 2021 au 7 janvier 2022). Elle ne le sera pas non plus à l'issue de la détention administrative prononcée le 6 avril 2022, pour une durée de trois mois. 17. Au vu de ce qui précède, il y a lieu de confirmer l'ordre de mise en détention administrative de M. A______ pour une durée de trois mois. 18.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- 12/12 - A/1094/2022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