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JTAPI/363/2024 vom 18. April 2024</w:t>
      </w:r>
    </w:p>
    <w:p>
      <w:r>
        <w:t>GE Cour de justice, 2024-04-18, FR</w:t>
      </w:r>
    </w:p>
    <w:p>
      <w:r>
        <w:rPr>
          <w:b/>
        </w:rPr>
        <w:t xml:space="preserve">Quelle: </w:t>
      </w:r>
      <w:r>
        <w:t>https://mcp.opencaselaw.ch/entscheid/ge_gerichte_JTAPI_363_2024</w:t>
      </w:r>
    </w:p>
    <w:p>
      <w:r>
        <w:t>FR: GE_GERICHTE JTAPI/363/2024 du 18 avril 2024</w:t>
      </w:r>
    </w:p>
    <w:p>
      <w:r>
        <w:t>IT: GE_GERICHTE JTAPI/363/2024 del 18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5</w:t>
      </w:r>
    </w:p>
    <w:p>
      <w:r>
        <w:t>Dans recours à l’encontre de la décision d'autorisation de construire définitive DD 9______ du ______ 2023 et son avenant du ______ 2023 (A/3537/2023), la recourante conteste uniquement la condition n° 4 découlant de ce dernier, lui faisant obligation de déposer le grillage (clôture) du côté B______.</w:t>
      </w:r>
    </w:p>
    <w:p>
      <w:r>
        <w:rPr>
          <w:b/>
        </w:rPr>
        <w:t>E. 6</w:t>
      </w:r>
    </w:p>
    <w:p>
      <w:r>
        <w:t>Selon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- 9/15 - A/3516/2023</w:t>
      </w:r>
    </w:p>
    <w:p>
      <w:r>
        <w:rPr>
          <w:b/>
        </w:rPr>
        <w:t>E. 7</w:t>
      </w:r>
    </w:p>
    <w:p>
      <w:r>
        <w:t>A teneur de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w:t>
      </w:r>
    </w:p>
    <w:p>
      <w:r>
        <w:rPr>
          <w:b/>
        </w:rPr>
        <w:t>E. 8</w:t>
      </w:r>
    </w:p>
    <w:p>
      <w:r>
        <w:t>Selon l'art. 15 LEaux-GE, aucune construction ou installation, tant en sous-sol qu’en élévation, ne peut être édifiée à une distance de moins de 10, 30 et 50 m de la limite du cours d’eau, selon la carte des surfaces inconstructibles annexée à cette loi (s'il existe un projet de correction du cours d'eau, cette distance est mesurée à partir de la limite future). Cette carte et ses modifications ultérieures sont établies selon la procédure prévue par la loi générale sur les zones de développement, du 29 juin 1957 (al. 1). Toutefois, dans le cadre de projets de construction, le département peut accorder des dérogations, pour autant que celles-ci ne portent pas atteinte aux fonctions écologiques du cours d'eau et de ses rives ou à la sécurité des personnes et des biens,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et de la CMNS (al. 4) ; elles peuvent être assorties de charges ou conditions (al. 5).</w:t>
      </w:r>
    </w:p>
    <w:p>
      <w:r>
        <w:rPr>
          <w:b/>
        </w:rPr>
        <w:t>E. 9</w:t>
      </w:r>
    </w:p>
    <w:p>
      <w:r>
        <w:t>Il ressort des travaux qui ont présidé à la révision de la LEaux-GE et à l'adoption de l'art. 15 LEaux-GE que le législateur a traité les dérogations visées par cette disposition comme relevant des art. 24 et ss LAT (Rapport de la commission de l'environnement et de l'agriculture chargée d'étudier le projet de loi du Conseil d'État modifiant la loi sur les eaux - PL 8547, p. 7 ; premier débat, séance 5 du 15 novembre 2002). L'art. 15 al. 3 let. a LEaux-GE reprend la condition figurant à l'art. 24 let. a LAT, selon laquelle l'implantation de l'installation litigieuse hors de la zone à bâtir doit être imposée par sa destination. L'analyse de cette condition implique une évaluation du site et ne peut être séparée de l'examen des intérêts s'opposant au projet (Rudolf MUGGLI, Commentaire de la LAT, ad art. 24 LAT ; n° 6 ss).</w:t>
      </w:r>
    </w:p>
    <w:p>
      <w:r>
        <w:rPr>
          <w:b/>
        </w:rPr>
        <w:t>E. 10</w:t>
      </w:r>
    </w:p>
    <w:p>
      <w:r>
        <w:t>Cela étant, l'art. 15 al. 7 LEaux-GE prévoit que les constructions et installations existantes dûment autorisées, qui peuvent être utilisées conformément à leur destination mais qui ne sont pas conformes à l'affectation de la zone, bénéficient en principe de la garantie de la situation acquise. Le DT peut autoriser la rénovation de telles constructions et installations, leur transformation partielle, leur agrandissement mesuré ou leur reconstruction.</w:t>
      </w:r>
    </w:p>
    <w:p>
      <w:r>
        <w:rPr>
          <w:b/>
        </w:rPr>
        <w:t>E. 11</w:t>
      </w:r>
    </w:p>
    <w:p>
      <w:r>
        <w:t>Selon le système prévu par la LCI, les préavis des communes, des départements et des organismes intéressés n'ont qu'un caractère consultatif. L'autorité de décision, qui n'est pas liée par ces préavis, reste libre de s'en écarter pour des motifs pertinents et en raison d'un intérêt public supérieur (art. 3 al. 3 LCI). Néanmoins, lorsque la consultation d'une instance de préavis est imposée par la loi, son préavis a un poids</w:t>
      </w:r>
    </w:p>
    <w:p>
      <w:r>
        <w:t>- 10/15 - A/3516/2023 certain dans l'appréciation qu'est amenée à effectuer l'autorité de recours et il convient de ne pas le minimiser (ATA/456/2022 du 3 mai 2022 consid. 4b; ATA/659/2017 du 13 juin 2017 consid. 4b ; ATA/318/2017 du 21 mars 2017 consid. 8c).</w:t>
      </w:r>
    </w:p>
    <w:p>
      <w:r>
        <w:rPr>
          <w:b/>
        </w:rPr>
        <w:t>E. 12</w:t>
      </w:r>
    </w:p>
    <w:p>
      <w:r>
        <w:t>La délivrance d’autorisations de construire demeure de la compétence exclusive du département à qui il appartient de statuer en prenant en compte tous les intérêts en présence (ATA/259/2020 du 3 mars 2020 consid. 4b).</w:t>
      </w:r>
    </w:p>
    <w:p>
      <w:r>
        <w:rPr>
          <w:b/>
        </w:rPr>
        <w:t>E. 13</w:t>
      </w:r>
    </w:p>
    <w:p>
      <w:r>
        <w:t>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14</w:t>
      </w:r>
    </w:p>
    <w:p>
      <w:r>
        <w:t>De jurisprudence constante,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(ATA/792/2022 du 9 août 2022 consid. 6e; ATA/639/2020 du 30 juin 2020 consid. 4d).</w:t>
      </w:r>
    </w:p>
    <w:p>
      <w:r>
        <w:rPr>
          <w:b/>
        </w:rPr>
        <w:t>E. 15</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t>- 11/15 - A/3516/2023</w:t>
      </w:r>
    </w:p>
    <w:p>
      <w:r>
        <w:rPr>
          <w:b/>
        </w:rPr>
        <w:t>E. 16</w:t>
      </w:r>
    </w:p>
    <w:p>
      <w:r>
        <w:t>Selon la jurisprudence, cette disposition n'a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(ATA/828/2015 du 11 août 2015 consid. 12a et références citées)</w:t>
      </w:r>
    </w:p>
    <w:p>
      <w:r>
        <w:rPr>
          <w:b/>
        </w:rPr>
        <w:t>E. 17</w:t>
      </w:r>
    </w:p>
    <w:p>
      <w:r>
        <w:t>Enfin, les normes en matière de construction n'ont pas pour vocation de protéger l'intimité des habitants (ATA/197/2022 du 22 février 2022 consid. 4c ; ATA/498/2020 du 19 mai 2020 consid. 7b).</w:t>
      </w:r>
    </w:p>
    <w:p>
      <w:r>
        <w:rPr>
          <w:b/>
        </w:rPr>
        <w:t>E. 18</w:t>
      </w:r>
    </w:p>
    <w:p>
      <w:r>
        <w:t>En l’espèce, il ressort explicitement du rapport du 28 mars 2023 de F______ SA que la parcelle de la recourante est fortement exposée à un risque de débordement de l’Aire et qu’elle pourrait déjà être inondée au-delà de la crue trentennale (Q30). Bien que celle-ci conclut, du strict point de vue hydraulique, à un niveau de protection contre les inondations suffisant au regard des objets concernés (les bâtiments n° 7______ et n° 4______ notamment), il n'en demeure pas moins que compte tenu de l'extrême proximité de l'habitation avec la berge, la zone doit être régulièrement surveillée en raison du fort danger lié aux crues. Il ressort également du rapport précité que le fait de ceinturer la parcelle avec une clôture pourrait bloquer, même partiellement, les écoulements et les matériaux qui peuvent être charriés en cas de crue, créant un risque avéré pour les habitations aux alentours en termes de sécurité. D’ailleurs, dans son préavis du 11 octobre 2023, l’OCEau s’est déclaré favorable à la demande de régularisation déposée par la recourante, sous plusieurs conditions, notamment celle que le grillage (clôture) du côté B______ soit enlevé, tout en soulignant que la mise en œuvre de ces conditions était impérative afin d’assurer la protection des personnes et des biens contre les dangers dus aux crues. Cette condition est reprise dans l’avenant. Enfin, la demande de maintien de cette clôture ne rentre pas dans la champ d’application des dérogations expressément prévues par l’art. 15 al. 3 LEaux-Ge, ce qui n’est au demeurant pas contesté. Compte tenu de ces éléments, le tribunal considère que le département n'a pas excédé ni abusé de son pouvoir d'appréciation conféré par l'art. 15 LEaux-GE en exigeant la suppression du grillage en question, au titre de condition à l'autorisation de construire délivrée. Les intérêts privés avancés par la recourante pour conserver sa clôture, notamment la protection de son intimité et la sécurité de ses chiens, ne sauraient l’emporter sur l’intérêt public lié à la sécurité en cas de crue, vu le risque avéré pour les habitations alentours et étant rappelé que les prescriptions légales en matière de construction n’ont pas pour but de protéger l’intimité ou la tranquillité de sa parcelle. Les griefs de la recourante doivent ainsi être rejetés et l’autorisation de construire délivrée sera confirmée, avec la condition de dépose du grillage du côté du B______.</w:t>
      </w:r>
    </w:p>
    <w:p>
      <w:r>
        <w:rPr>
          <w:b/>
        </w:rPr>
        <w:t>E. 19</w:t>
      </w:r>
    </w:p>
    <w:p>
      <w:r>
        <w:t>La recourante conteste également la décision du ______ 2023 lui infligeant une amende de CHF 3'000.- et lui impartissant un délai de trois mois pour procéder à la mise en conformité de sa parcelle (cause A/3516/2023). Elle a néanmoins précisé dans</w:t>
      </w:r>
    </w:p>
    <w:p>
      <w:r>
        <w:t>- 12/15 - A/3516/2023 ses dernières écritures qu’elle ne trouvait pas le montant de l’amende disproportionné mais souhaitait obtenir un arrangement de paiement ainsi qu’une prolongation du délai de mise en conformité initialement fixé au 29 décembre 2023.</w:t>
      </w:r>
    </w:p>
    <w:p>
      <w:r>
        <w:rPr>
          <w:b/>
        </w:rPr>
        <w:t>E. 20</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21</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rPr>
          <w:b/>
        </w:rPr>
        <w:t>E. 22</w:t>
      </w:r>
    </w:p>
    <w:p>
      <w:r>
        <w:t>mars 2016 ; ATA/163/2014 du 18 mars 2014 ; Pierre MOOR/Étienne POLTIER, Droit administratif : les actes administratifs et leur contrôle, vol. 2, 2011, p. 160 s. ch. 1.4.5.5).</w:t>
      </w:r>
    </w:p>
    <w:p>
      <w:r>
        <w:rPr>
          <w:b/>
        </w:rPr>
        <w:t>E. 23</w:t>
      </w:r>
    </w:p>
    <w:p>
      <w:r>
        <w:t>En vertu de l'art. 1 let. a de la loi pénale genevoise du 17 novembre 2006 (LPG - E 4 05), les dispositions de la partie générale du CP s'appliquent à titre de droit cantonal supplétif, sous réserve de celles qui concernent exclusivement le juge pénal</w:t>
      </w:r>
    </w:p>
    <w:p>
      <w:r>
        <w:t>- 13/15 - A/3516/2023 (ATA/611/2016 du 12 juillet 2016 consid. 10c et les références citées). Il est ainsi nécessaire que le contrevenant ait commis une faute, fût-ce sous la forme d'une simple négligence (ATA/886/2014 du 11 novembre 2014 ; ATA/147/2014 du 11 mars 2014).</w:t>
      </w:r>
    </w:p>
    <w:p>
      <w:r>
        <w:rPr>
          <w:b/>
        </w:rPr>
        <w:t>E. 24</w:t>
      </w:r>
    </w:p>
    <w:p>
      <w:r>
        <w:t>Selon la jurisprudence constante, l'administration doit faire preuve de sévérité afin d'assurer le respect de la loi et jouit d'un large pouvoir d'appréciation pour infliger une amende, de sorte que le juge ne la censure qu'en cas d'excès (ATA/611/2016 précité ; ATA/824/2015 du 11 août 2015 ; ATA/147/2014 du 11 mars 2014).</w:t>
      </w:r>
    </w:p>
    <w:p>
      <w:r>
        <w:rPr>
          <w:b/>
        </w:rPr>
        <w:t>E. 25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10c et les références citées ; ATA/824/2015 du 11 août 2015 ; arrêt du Tribunal fédéral 6B_412/2014 du 27 janvier 2015 consid. 2.1 et les arrêts cités).</w:t>
      </w:r>
    </w:p>
    <w:p>
      <w:r>
        <w:rPr>
          <w:b/>
        </w:rPr>
        <w:t>E. 26</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27</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28</w:t>
      </w:r>
    </w:p>
    <w:p>
      <w:r>
        <w:t>En l'occurrence, la recourante ne conteste pas avoir enfreint la loi en ayant édifié diverses constructions et installations sur sa parcelle sans requérir au préalable les autorisations nécessaires. L’amende est ainsi fondée dans son principe. En outre, et cela n’est plus contesté par l’intéressée, le montant de l’amende de CHF 3'000.- ne parait pas disproportionné, étant souligné que les frais liés aux travaux de remise en état ne sauraient être pris en compte dans le calcul de sa quotité. Par ailleurs, sur la base des pièces versées à la procédure, il n’est pas démontré que la recourante n’aurait pas les moyens de payer cette amende. Quant à la demande de paiement échelonné, c’est au DT, auprès duquel elle l’a d’ailleurs déposée, qu’il appartient de se prononcer.</w:t>
      </w:r>
    </w:p>
    <w:p>
      <w:r>
        <w:t>- 14/15 - A/3516/2023</w:t>
      </w:r>
    </w:p>
    <w:p>
      <w:r>
        <w:rPr>
          <w:b/>
        </w:rPr>
        <w:t>E. 29</w:t>
      </w:r>
    </w:p>
    <w:p>
      <w:r>
        <w:t>Partant, au vu de l'ensemble des circonstances, l’amende sera confirmée tant dans son principe que dans sa quotité.</w:t>
      </w:r>
    </w:p>
    <w:p>
      <w:r>
        <w:rPr>
          <w:b/>
        </w:rPr>
        <w:t>E. 30</w:t>
      </w:r>
    </w:p>
    <w:p>
      <w:r>
        <w:t>La recourante fait encore valoir que le délai de trois mois, au 29 décembre 2023, qui lui a été imparti pour rétablir une situation conforme au droit serait trop bref.</w:t>
      </w:r>
    </w:p>
    <w:p>
      <w:r>
        <w:rPr>
          <w:b/>
        </w:rPr>
        <w:t>E. 31</w:t>
      </w:r>
    </w:p>
    <w:p>
      <w:r>
        <w:t>À teneur de l’art. 132 al. 1 LCI, le département notifie aux intéressés, par lettre recommandée, les mesures qu'il ordonne. Il fixe un délai pour leur exécution, à moins qu'il n'invoque l'urgence.</w:t>
      </w:r>
    </w:p>
    <w:p>
      <w:r>
        <w:rPr>
          <w:b/>
        </w:rPr>
        <w:t>E. 32</w:t>
      </w:r>
    </w:p>
    <w:p>
      <w:r>
        <w:t>Le tribunal de céans a jugé qu’un délai de nonante jours était usuel et donc adapté pour exiger la mise en conformité d’une situation illégale (JTAPI/1445/2022 du 22 décembre 2022 ; JTAPI/562/2021 du 3 juin 2021 consid. 13).</w:t>
      </w:r>
    </w:p>
    <w:p>
      <w:r>
        <w:rPr>
          <w:b/>
        </w:rPr>
        <w:t>E. 33</w:t>
      </w:r>
    </w:p>
    <w:p>
      <w:r>
        <w:t>En l’espèce, par courrier 26 avril 2022, la recourante a indiqué au DT que le bâtiment n° 5______ était en bois, facilement démontable et qu’il serait enlevé durant l’été 2022, ce qu’elle a ensuite confirmé par courriels des 18 mai et 15 juillet 2022, précisant qu’elle allait procéder à sa démolition et que les brise-vues seraient également retirés. La recourante sait ainsi depuis près de deux ans qu’elle doit procéder aux travaux de mise conformité de sa parcelle et le délai imparti, de trois mois, pour ce faire paraît suffisant. L’intéressée n’a au demeurant pas démontré qu’elle se serait trouvée ou se trouverait dans l’impossibilité de procéder aux remises en état requises. Elle a d’ailleurs déjà enlevé les brise-vues. La décision du ______ 2023 sera donc également confirmée sur ce point.</w:t>
      </w:r>
    </w:p>
    <w:p>
      <w:r>
        <w:rPr>
          <w:b/>
        </w:rPr>
        <w:t>E. 34</w:t>
      </w:r>
    </w:p>
    <w:p>
      <w:r>
        <w:t>Entièrement mal fondés, les recours sont rejetés.</w:t>
      </w:r>
    </w:p>
    <w:p>
      <w:r>
        <w:rPr>
          <w:b/>
        </w:rPr>
        <w:t>E. 35</w:t>
      </w:r>
    </w:p>
    <w:p>
      <w:r>
        <w:t>En application des art. 87 al. 1 LPA et 1 et 2 du règlement sur les frais, émoluments et indemnités en procédure administrative du 30 juillet 1986 (RFPA - E 5 10.03), la recourante est condamnée au paiement d’un émolument s'élevant à CHF 1’200.- ; il est couvert par les avances de frais d'un montant total de CHF 1'800.- versés à la suite du dépôt des recours. Le solde des avances de frais de CHF 600.- lui sera restitué.</w:t>
      </w:r>
    </w:p>
    <w:p>
      <w:r>
        <w:t>- 15/15 - A/3516/2023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