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JTAPI/361/2024 vom 18. April 2024</w:t>
      </w:r>
    </w:p>
    <w:p>
      <w:r>
        <w:t>GE Cour de justice, 2024-04-18, FR</w:t>
      </w:r>
    </w:p>
    <w:p>
      <w:r>
        <w:rPr>
          <w:b/>
        </w:rPr>
        <w:t xml:space="preserve">Quelle: </w:t>
      </w:r>
      <w:r>
        <w:t>https://mcp.opencaselaw.ch/entscheid/ge_gerichte_JTAPI_361_2024</w:t>
      </w:r>
    </w:p>
    <w:p>
      <w:r>
        <w:t>FR: GE_GERICHTE JTAPI/361/2024 du 18 avril 2024</w:t>
      </w:r>
    </w:p>
    <w:p>
      <w:r>
        <w:t>IT: GE_GERICHTE JTAPI/361/2024 del 18 aprile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1.5</w:t>
      </w:r>
    </w:p>
    <w:p>
      <w:r>
        <w:t>; ATA/1218/2017 du 22 août 2017 consid. 3b et l'arrêt cité). La contestation ne peut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2</w:t>
      </w:r>
    </w:p>
    <w:p>
      <w:r>
        <w:t>En l'espèce, le recours porte sur deux décisions distinctes, soit le refus de l'autorisation de construire APA 4______/1 du ______ 2023, ainsi que l'ordre de remise en état, assorti du prononcé d'une amende administrative, du ______ 2023.</w:t>
      </w:r>
    </w:p>
    <w:p>
      <w:r>
        <w:t>- 6/13 - A/3759/2023</w:t>
      </w:r>
    </w:p>
    <w:p>
      <w:r>
        <w:rPr>
          <w:b/>
        </w:rPr>
        <w:t>E. 2.1</w:t>
      </w:r>
    </w:p>
    <w:p>
      <w:r>
        <w:t>; 129 IV 6 consid. 6.1 ; arrêts du Tribunal fédéral 6B_1024/2020 du 25 janvier 2021 consid. 1.1 ; 6B_28/2016 du 10 octobre 2016 consid. 5.1 ; 6B_1276/2015 du</w:t>
      </w:r>
    </w:p>
    <w:p>
      <w:r>
        <w:rPr>
          <w:b/>
        </w:rPr>
        <w:t>E. 3</w:t>
      </w:r>
    </w:p>
    <w:p>
      <w:r>
        <w:t>Interjeté en temps utile et dans les formes prescrites devant la juridiction compétente, le recours, en tant qu'il concerne les deux décisions précitées, est recevable au sens des art. 60 et 62 à 65 de la loi sur la procédure administrative du 12 septembre 1985 (LPA - E 5 10).</w:t>
      </w:r>
    </w:p>
    <w:p>
      <w:r>
        <w:rPr>
          <w:b/>
        </w:rPr>
        <w:t>E. 4</w:t>
      </w:r>
    </w:p>
    <w:p>
      <w:r>
        <w:t>À titre préalable, les recourants sollicitent la suspension de la présente procédure. Dans un premier temps, dans leur mémoire de recours, les recourants concluent principalement à ce que le tribunal prononce lui-même le maintien à titre précaire de la construction litigieuse. Dans un second temps, dans le cadre de leur réplique, ils relèvent cette fois-ci qu'il incomberait au département d'adresser formellement au Conseil d'État une demande de maintien à titre précaire et sollicitent par conséquent la suspension de la procédure jusqu'à ce que le Conseil d'État se prononce.</w:t>
      </w:r>
    </w:p>
    <w:p>
      <w:r>
        <w:rPr>
          <w:b/>
        </w:rPr>
        <w:t>E. 5</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(ATA/405/2022 du 12 avril 2022 consid. 3a).</w:t>
      </w:r>
    </w:p>
    <w:p>
      <w:r>
        <w:rPr>
          <w:b/>
        </w:rPr>
        <w:t>E. 6</w:t>
      </w:r>
    </w:p>
    <w:p>
      <w:r>
        <w:t>Lorsqu’une construction ou une installation n’est pas conforme à l’autorisation donnée ou si, entreprise sans autorisation, elle n’est pas conforme aux prescriptions légales, le Conseil d’Etat peut la laisser subsister, à titre précaire, si elle ne nuit pas à la sécurité, à la salubrité ou à l’esthétique, moyennant le paiement, en plus de l’amende, d’une redevance annuelle dont il fixe le montant et la durée selon la gravité de l’infraction (art. 139 al. 1 LCI). Le maintien à titre précaire suppose une requête et une décision du Conseil d'État (ATA/945/2018 du 19 septembre 2018).</w:t>
      </w:r>
    </w:p>
    <w:p>
      <w:r>
        <w:rPr>
          <w:b/>
        </w:rPr>
        <w:t>E. 7</w:t>
      </w:r>
    </w:p>
    <w:p>
      <w:r>
        <w:t>A la lecture de leurs écritures, les recourants semblent confus au sujet de la compétence pour déposer et pour se déterminer sur une requête de maintien à titre précaire, demandant à tour de rôle au tribunal de se prononcer, puis au département d'adresser une requête au Conseil d'État. En tout état, à teneur du dossier, les recourants ne prétendent pas avoir à ce jour déposé une requête au sens de l'art. 139 al. 1 LCI auprès du Conseil d'État, de sorte qu'aucune autre procédure administrative n'est actuellement pendante, au sens de l'art. 14 LPA. Il n'apparaît par ailleurs pas non plus qu'une requête ait été adressée au département, de sorte que l'art. 11 al. 3 LPA, auquel les recourants se réfèrent et qui prévoit qu'une autorité saisie par erreur transmet l'affaire à l'autorité compétente, ne s'applique pas en l'espèce.</w:t>
      </w:r>
    </w:p>
    <w:p>
      <w:r>
        <w:t>- 7/13 - A/3759/2023 Finalement, comme l'a justement relevé le département, quand bien même le Conseil d'État serait saisi d'une demande fondée sur l'art. 139 LCI, il ne se justifierait pas de suspendre la présente procédure. En effet, c'est au contraire la question d'un éventuel maintien à titre précaire, si elle faisait parallèlement l'objet d'une procédure en cours, qui devrait être suspendue jusqu'à droit connu sur les décisions attaquées.</w:t>
      </w:r>
    </w:p>
    <w:p>
      <w:r>
        <w:rPr>
          <w:b/>
        </w:rPr>
        <w:t>E. 8</w:t>
      </w:r>
    </w:p>
    <w:p>
      <w:r>
        <w:t>Pour le surplus, une suspension fondée sur l’accord des parties au sens de l’art. 78 LPA n’entre pas en ligne de compte en l’occurrence, le département s’étant opposé à une telle mesure.</w:t>
      </w:r>
    </w:p>
    <w:p>
      <w:r>
        <w:rPr>
          <w:b/>
        </w:rPr>
        <w:t>E. 9</w:t>
      </w:r>
    </w:p>
    <w:p>
      <w:r>
        <w:t>Par conséquent, la demande de suspension de la présente procédure sera rejetée.</w:t>
      </w:r>
    </w:p>
    <w:p>
      <w:r>
        <w:rPr>
          <w:b/>
        </w:rPr>
        <w:t>E. 10</w:t>
      </w:r>
    </w:p>
    <w:p>
      <w:r>
        <w:t>Sur le fond, les recourants concluent principalement à l'annulation des deux décisions litigieuses, puis cela fait, demandent le maintien à titre précaire de la construction. Or cette articulation des conclusions n'a pas de sens dans la mesure où, si la décision relative au refus d'autorisation de construire venait à être annulée et la construction litigieuse par conséquent autorisée, comme le demandent les requérants, un maintien à titre précaire de cette construction deviendrait sans objet. De plus, en contradiction avec leur conclusion principale d'annulation des décisions litigieuses, les recourants annoncent finalement dans le cadre de leurs écritures, qu'ils "n'entendent pas contester le refus d'autorisation du projet tel que déposé le 17 avril 2023 par l'architecte" (p. 11 du recours). Quant au prononcé de l'amende, ils "ne contestent pas le fait que la construction litigieuse n'est pas autorisable en tant que tel et contrevient de la sorte à la LCI" (p. 13 du recours). Ils en contestent toutefois le montant.</w:t>
      </w:r>
    </w:p>
    <w:p>
      <w:r>
        <w:rPr>
          <w:b/>
        </w:rPr>
        <w:t>E. 11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w:t>
      </w:r>
    </w:p>
    <w:p>
      <w:r>
        <w:rPr>
          <w:b/>
        </w:rPr>
        <w:t>E. 12</w:t>
      </w:r>
    </w:p>
    <w:p>
      <w:r>
        <w:t>Saisi d’un recours, le tribunal applique le droit d’office. Il ne peut pas aller au-delà des conclusions des parties, mais n’est lié ni par les motifs invoqués par celles-ci (art. 69 al. 1 LPA), ni par leur argumentation juridique (cf. ATA/386/2018 du 24</w:t>
      </w:r>
    </w:p>
    <w:p>
      <w:r>
        <w:t>- 8/13 - A/3759/2023 avril 2018 consid. 1b ; ATA/117/2016 du 9 février 2016 consid. 2 ; ATA/723/2015 du 14 juillet 2015 consid. 4a).</w:t>
      </w:r>
    </w:p>
    <w:p>
      <w:r>
        <w:rPr>
          <w:b/>
        </w:rPr>
        <w:t>E. 13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14</w:t>
      </w:r>
    </w:p>
    <w:p>
      <w:r>
        <w:t>S'agissant de la décision de refus du ______ 2023, les recourants concluent à son annulation, tout en annonçant dans leurs écritures qu'ils n'entendent finalement pas contester le refus d'autorisation. Ils invoquent pour seul grief le fait que le département leur a à tort reproché de ne pas avoir sollicité d'autorisation pour la démolition des deux petits bâtiments de moins de 20 m2.</w:t>
      </w:r>
    </w:p>
    <w:p>
      <w:r>
        <w:rPr>
          <w:b/>
        </w:rPr>
        <w:t>E. 15</w:t>
      </w:r>
    </w:p>
    <w:p>
      <w:r>
        <w:t>A teneur de l'art. 1 al. 1 let. c LCI, sur tout le territoire du canton nul ne peut, sans y avoir été autorisé, démolir, supprimer ou rebâtir une construction ou une installation. L'alinéa 7 précise qu'aucun travail ne doit être entrepris avant que l'autorisation ait été délivrée. Si les travaux portent sur une démolition, ils ne peuvent commencer avant l'entrée en force de l'autorisation s'y rapportant.</w:t>
      </w:r>
    </w:p>
    <w:p>
      <w:r>
        <w:rPr>
          <w:b/>
        </w:rPr>
        <w:t>E. 16</w:t>
      </w:r>
    </w:p>
    <w:p>
      <w:r>
        <w:t>Comme relevé plus haut (consid. 10), le raisonnement des recourants est peu compréhensible et pour le moins contradictoire. En tout état, sur le fond, le seul grief invoqué se rapporte à l'absence d'une autorisation pour la démolition pour les deux petits bâtiments.</w:t>
      </w:r>
    </w:p>
    <w:p>
      <w:r>
        <w:rPr>
          <w:b/>
        </w:rPr>
        <w:t>E. 17</w:t>
      </w:r>
    </w:p>
    <w:p>
      <w:r>
        <w:t>L'argumentation des recourants à ce sujet peine à convaincre le tribunal. D'une part, la démolition des deux bâtiments annexes ne constitue pas l'objet de la décision du ______ 2023, qui concerne le refus d'autoriser la création de places de stationnement déjà construites. Quant à l'absence d'autorisation de démolir, certes relevée dans ladite décision, elle ne s'avère pas être le seul argument ayant motivé le refus. Il est par ailleurs relevé que dans le cadre de l'ordre de remise en état qu'il a prononcé, le département s'est limité à demander la suppression des places de stationnement, ainsi que la suppression et l'évacuation des pavés filtrants. La reconstruction des annexes n'a pas été demandée par le département qui semble par conséquent avoir pris acte de leur démolition. Au vu de ce qui précède, il n'y a pas lieu de se prononcer sur la nécessité dans le cas d'espèce d'une autorisation de démolir. D'autre part, en se limitant au grief relatif à la démolition des deux annexes, les recourants n'expliquent pas pourquoi le département aurait à tort refusé</w:t>
      </w:r>
    </w:p>
    <w:p>
      <w:r>
        <w:t>- 9/13 - A/3759/2023 l'autorisation de construire qu'ils contestent dans leurs conclusions. En tout état, en appliquant le droit d'office, le tribunal ne voit pas pourquoi le département aurait dû prendre une autre décision au sujet de la construction litigieuse. Partant, le grief est rejeté.</w:t>
      </w:r>
    </w:p>
    <w:p>
      <w:r>
        <w:rPr>
          <w:b/>
        </w:rPr>
        <w:t>E. 18</w:t>
      </w:r>
    </w:p>
    <w:p>
      <w:r>
        <w:t>Les recourants indiquent ensuite qu'ils n'entendent pas contester le refus d'autorisation du projet mais font valoir que la construction litigieuse devrait être maintenue à titre précaire.</w:t>
      </w:r>
    </w:p>
    <w:p>
      <w:r>
        <w:rPr>
          <w:b/>
        </w:rPr>
        <w:t>E. 19</w:t>
      </w:r>
    </w:p>
    <w:p>
      <w:r>
        <w:t>L'art. 139 al. 1 LCI donne à l'autorité exécutive la latitude de s'incliner devant le fait accompli et d'accorder par un acte de souveraineté une dérogation générale quant à la nature des constructions (ATA/403/2002 du 23 juillet 2002, consid. 17). La jurisprudence a par ailleurs confirmé qu'à Genève, le maintien à titre précaire suppose une requête et une décision du Conseil d'État (cf. consid. 6).</w:t>
      </w:r>
    </w:p>
    <w:p>
      <w:r>
        <w:rPr>
          <w:b/>
        </w:rPr>
        <w:t>E. 20</w:t>
      </w:r>
    </w:p>
    <w:p>
      <w:r>
        <w:t>En l'occurrence, les recourants n'ont pas déposé une telle demande basée sur l'art. 139 al. 1 LCI. Les décisions étant circonscrites d'une part au refus d'autorisation de construire et d'autre part à l'ordre de remise en état ainsi qu'au prononcé d'une amende, le tribunal ne saurait entrer en matière sur la question du maintien à titre précaire de la construction litigieuse dans la mesure où cette question ne relève pas de la compétence du tribunal et où elle ne constitue pas l'objet du litige. Partant, le grief est rejeté.</w:t>
      </w:r>
    </w:p>
    <w:p>
      <w:r>
        <w:rPr>
          <w:b/>
        </w:rPr>
        <w:t>E. 21</w:t>
      </w:r>
    </w:p>
    <w:p>
      <w:r>
        <w:t>S'agissant finalement de l'amende administrative prononcée par le département par décision du ______ 2023, les recourants n'en contestent pas le principe, mais le montant.</w:t>
      </w:r>
    </w:p>
    <w:p>
      <w:r>
        <w:rPr>
          <w:b/>
        </w:rPr>
        <w:t>E. 22</w:t>
      </w:r>
    </w:p>
    <w:p>
      <w:r>
        <w:t>L’art. 137 al. 1 LCI prévoit qu’est passible d’une amende administrative de CHF 100.- à CHF 150'000.- tout contrevenant à la présente loi (let. a), aux règlements et arrêtés édictés en vertu de la présente loi (let. b), aux ordres donnés par le département dans les limites de la présente loi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La poursuite et la sanction administrative se prescrivent par sept ans (art. 137 al. 5 LCI).</w:t>
      </w:r>
    </w:p>
    <w:p>
      <w:r>
        <w:rPr>
          <w:b/>
        </w:rPr>
        <w:t>E. 23</w:t>
      </w:r>
    </w:p>
    <w:p>
      <w:r>
        <w:t>L'art. 137 al. 1 LCI érige la contravention aux ordres donnés par le département (let.c) en infraction distincte de la contravention à la LCI et à ses règlements</w:t>
      </w:r>
    </w:p>
    <w:p>
      <w:r>
        <w:t>- 10/13 - A/3759/2023 d'application (let. a et b). De par sa nature, cette infraction est très proche de celle visée par l'art. 292 CP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(D______, Les principales infractions, Berne 1997, p. 360). De plus, la sanction de l'insoumission peut être augmentée chaque fois qu'une menace de l'appliquer est restée sans effet (ATA/147/2014 du 11 mars 2014 ; E______, Précis de droit administratif, 3ème éd., 1991, n. 1721 et les références citées).</w:t>
      </w:r>
    </w:p>
    <w:p>
      <w:r>
        <w:rPr>
          <w:b/>
        </w:rPr>
        <w:t>E. 24</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code pénal suisse du 21 décembre 1937 (CP - RS 311.0).</w:t>
      </w:r>
    </w:p>
    <w:p>
      <w:r>
        <w:rPr>
          <w:b/>
        </w:rPr>
        <w:t>E. 25</w:t>
      </w:r>
    </w:p>
    <w:p>
      <w:r>
        <w:t>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 ss, 42 ss, 56 ss, 74 ss, 106 al. 2 et 3 et 107 CP (not. ATA/1472/2017 du 14 novembre 2017 ; ATA/313/2017 du 21 mars 2017 ; ATA/824/2015 du 11 août 2015 ; ATA/886/2014 du 11 novembre 2014 ; ATA/791/2013 du 3 décembre 2013). Il est ainsi en particulier nécessaire que le contrevenant ait commis une faute, fût- ce sous la forme d’une simple négligence (cf. not. ATA/625/2021 du 15 juin 2021 consid. 4b; ATA/559/2021 du 25 mai 2021 consid. 7d ; ATA/13/2020 du 7 janvier 2020 consid. 7c ; ATA/1828/2019 du 17 décembre 2019 consid. 13c ; ATA/1277/2018 du 27 novembre 2018 consid. 6c ; F______/G______/H______, Allgemeines Verwaltungsrecht, 8e éd., 2020, p. 343 n. 1493).</w:t>
      </w:r>
    </w:p>
    <w:p>
      <w:r>
        <w:rPr>
          <w:b/>
        </w:rPr>
        <w:t>E. 26</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w:t>
      </w:r>
    </w:p>
    <w:p>
      <w:r>
        <w:t>- 11/13 - A/3759/2023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w:t>
      </w:r>
    </w:p>
    <w:p>
      <w:r>
        <w:rPr>
          <w:b/>
        </w:rPr>
        <w:t>E. 29</w:t>
      </w:r>
    </w:p>
    <w:p>
      <w:r>
        <w:t>S'agissant du montant de l'amende, fixé à CHF 1'000.-, rien ne permet de considérer que le département aurait pris en considération des critères ou éléments sans pertinence pour évaluer la faute et fixer ce montant. Au contraire, dans la décision querellée, le département a indiqué aux recourants les motifs qui l'ont poussé à infliger une telle amende, à savoir le fait de l'avoir mis devant le fait accompli. En</w:t>
      </w:r>
    </w:p>
    <w:p>
      <w:r>
        <w:t>- 12/13 - A/3759/2023 outre, le département a visiblement fait application du principe de proportionnalité dans ce cadre, puisque, eu égard à sa pratique, il a fait preuve dans le cas des recourants d'une remarquable mansuétude. Enfin, les recourants ne démontrent pas que le paiement de cette amende les exposerait à des difficultés financières particulières.</w:t>
      </w:r>
    </w:p>
    <w:p>
      <w:r>
        <w:rPr>
          <w:b/>
        </w:rPr>
        <w:t>E. 30</w:t>
      </w:r>
    </w:p>
    <w:p>
      <w:r>
        <w:t>Au vu de ce qui précède, le département n’a pas abusé de son pouvoir d’appréciation.</w:t>
      </w:r>
    </w:p>
    <w:p>
      <w:r>
        <w:rPr>
          <w:b/>
        </w:rPr>
        <w:t>E. 31</w:t>
      </w:r>
    </w:p>
    <w:p>
      <w:r>
        <w:t>En tous points mal fondé, le recours sera rejeté.</w:t>
      </w:r>
    </w:p>
    <w:p>
      <w:r>
        <w:rPr>
          <w:b/>
        </w:rPr>
        <w:t>E. 32</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600.- ; il est couvert par l’avance de frais de CHF 900.- versée à la suite du dépôt du recours. Le solde de l'avance de frais de CHF 300.- leur sera restitué. Vu l’issue du litige, aucune indemnité de procédure ne sera allouée (art. 87 al. 2 LPA).</w:t>
      </w:r>
    </w:p>
    <w:p>
      <w:r>
        <w:t>- 13/13 - A/3759/2023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