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JTAPI/356/2024 vom 17. April 2024</w:t>
      </w:r>
    </w:p>
    <w:p>
      <w:r>
        <w:t>GE Cour de justice, 2024-04-17, FR</w:t>
      </w:r>
    </w:p>
    <w:p>
      <w:r>
        <w:rPr>
          <w:b/>
        </w:rPr>
        <w:t xml:space="preserve">Quelle: </w:t>
      </w:r>
      <w:r>
        <w:t>https://mcp.opencaselaw.ch/entscheid/ge_gerichte_JTAPI_356_2024</w:t>
      </w:r>
    </w:p>
    <w:p>
      <w:r>
        <w:t>FR: GE_GERICHTE JTAPI/356/2024 du 17 avril 2024</w:t>
      </w:r>
    </w:p>
    <w:p>
      <w:r>
        <w:t>IT: GE_GERICHTE JTAPI/356/2024 del 17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Il sied de relever que le tribunal a repris depuis le 1er janvier 2011 les compétences de la Commission de recours en matière administrative (art. 143 al. 4 LOJ), laquelle</w:t>
      </w:r>
    </w:p>
    <w:p>
      <w:r>
        <w:t>- 7/15 - A/2547/2023 a elle-même remplacé la commission cantonale de recours en matière de constructions à compter du 1er janvier 2009. Dès lors, le fait que les recourants aient adressé leurs écritures à la « Commission de recours LCI » ne saurait avoir pour effet que celles-ci soient déclarées irrecevables pour ce seul motif, sauf à faire preuve de formalisme excessif (cf. ATF 149 III 12 consid. 3.3.1 ; arrêt du Tribunal fédéral 2C_165/2023 du 20 septembre 2023 consid. 3.1).</w:t>
      </w:r>
    </w:p>
    <w:p>
      <w:r>
        <w:rPr>
          <w:b/>
        </w:rPr>
        <w:t>E. 2</w:t>
      </w:r>
    </w:p>
    <w:p>
      <w:r>
        <w:t>Interjeté en temps utile et dans les formes prescrites devant la juridiction compétente, le recours est recevable au sens des art. 62 à 65 de la loi sur la procédure administrative du 12 septembre 1985 (LPA - E 5 10). À nouveau, il sied de relever que le fait que les écritures de recours mentionnent une date incorrecte, un jour avant le prononcé de la décision litigieuse, ne saurait pas non plus avoir pour conséquence que celles-ci soient déclarées irrecevables pour ce seul motif, sauf à faire preuve de formalisme excessif.</w:t>
      </w:r>
    </w:p>
    <w:p>
      <w:r>
        <w:rPr>
          <w:b/>
        </w:rPr>
        <w:t>E. 2.2</w:t>
      </w:r>
    </w:p>
    <w:p>
      <w:r>
        <w:t>; arrêt du Tribunal fédéral 1C_164/2019 du 20 janvier 2021 consid. 1).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w:t>
      </w:r>
    </w:p>
    <w:p>
      <w:r>
        <w:t>- 8/15 - A/2547/2023 l’objet de la contestation (cf. ATF 125 I 173 consid. 1b ; arrêts du Tribunal fédéral 1C_469/ 2014 du 24 avril 2015 consid. 2.2 ; 1C_453/2014 du 23 février 2015 consid. 4.2 et 4.3).</w:t>
      </w:r>
    </w:p>
    <w:p>
      <w:r>
        <w:rPr>
          <w:b/>
        </w:rPr>
        <w:t>E. 3</w:t>
      </w:r>
    </w:p>
    <w:p>
      <w:r>
        <w:t>La recevabilité du recours suppose également que son auteur dispose de la qualité pour recourir.</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 En matière de droit des constructions, le voisin direct de la construction ou de l’installation litigieuse a en principe la qualité pour recourir (ATF 139 II 499 consid.</w:t>
      </w:r>
    </w:p>
    <w:p>
      <w:r>
        <w:rPr>
          <w:b/>
        </w:rPr>
        <w:t>E. 5</w:t>
      </w:r>
    </w:p>
    <w:p>
      <w:r>
        <w:t>En l’espèce, les recourants sont domiciliés sur une des parcelles contiguës de celle devant accueillir le projet litigieux, dans un rayon de moins de 50 m de celui-ci, à savoir à une distance pour laquelle la qualité pour recourir a été admise par la jurisprudence. Ils se prévalent de dispositions de droit public des constructions susceptibles d’avoir une incidence concrète sur leur situation de fait. La qualité pour recourir doit dès lors leur être reconnue.</w:t>
      </w:r>
    </w:p>
    <w:p>
      <w:r>
        <w:rPr>
          <w:b/>
        </w:rPr>
        <w:t>E. 6</w:t>
      </w:r>
    </w:p>
    <w:p>
      <w:r>
        <w:t>L’admission de la qualité pour recourir ne signifie pas encore que toutes les conclusions, respectivement griefs, formulés par un recourant sont recevables. 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 Par ailleurs,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ATA/439/2021 du 20 avril 2021 consid. 8a ; ATA/307/2021 du 9 mars 2021 consid. 4a ; ATA/1334/ 2019 du 3 septembre 2019 consid. 3b).</w:t>
      </w:r>
    </w:p>
    <w:p>
      <w:r>
        <w:rPr>
          <w:b/>
        </w:rPr>
        <w:t>E. 7</w:t>
      </w:r>
    </w:p>
    <w:p>
      <w:r>
        <w:t>En l’espèce, l’objet du litige porte sur la conformité au droit de la piscine et de son local technique, et non sur le bâtiment principal (maison) des intimés. Ainsi, les remarques et griefs formulés à cet égard sont exorbitants à l’objet de la décision entreprise et, partant, irrecevables. Les remarques et griefs formulés en relation avec les servitudes de droit privé sont également irrecevables, le tribunal n’ayant pas, conformément à la jurisprudence susmentionnée, pour objet de veiller au respect des droits réels, en particulier des servitudes.</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w:t>
      </w:r>
    </w:p>
    <w:p>
      <w:r>
        <w:t>- 9/15 - A/2547/2023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9</w:t>
      </w:r>
    </w:p>
    <w:p>
      <w:r>
        <w:t>Dans un premier grief, les recourants semblent arguer une violation de leur droit d’être entendus du fait qu’ils n’auraient été informés du projet ni par les requérants, ni par le département et que la commune de F______ n’aurait pas été non plus invitée à se prononcer sur celui-ci.</w:t>
      </w:r>
    </w:p>
    <w:p>
      <w:r>
        <w:rPr>
          <w:b/>
        </w:rPr>
        <w:t>E. 10</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11</w:t>
      </w:r>
    </w:p>
    <w:p>
      <w:r>
        <w:t>La réparation d’un vice de procédure en instance de recours et, notamment, du droit d’être entendu, n’est possible que lorsque l’autorité dispose du même pouvoir d’examen que l’autorité inférieure (ATF 147 IV 340 consid. 4.11.3 ; 145 I 167 consid. 4.4).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(arrêt du Tribunal fédéral 7B_ 816/2023 du 12 janvier 2024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t>- 10/15 - A/2547/2023</w:t>
      </w:r>
    </w:p>
    <w:p>
      <w:r>
        <w:rPr>
          <w:b/>
        </w:rPr>
        <w:t>E. 12</w:t>
      </w:r>
    </w:p>
    <w:p>
      <w:r>
        <w:t>D’après l’art. 3 al. 7 LCI, le département peut traiter par une procédure accélérée les demandes d’autorisation relatives à des travaux soumis à l’article 1 LCI : a) s’ils sont projetés en cinquième zone aux conditions prévues par le titre II, chapitre VI, de la présente loi et lorsqu’aucune dérogation n’est sollicitée ; b) s’ils portent sur la modification intérieure d’un bâtiment existant ou ne modifient pas l’aspect général de celui-ci ; c) pour des constructions nouvelles de peu d’importance ou provisoires ; ou d) à titre exceptionnel,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rPr>
          <w:b/>
        </w:rPr>
        <w:t>E. 13</w:t>
      </w:r>
    </w:p>
    <w:p>
      <w:r>
        <w:t>La jurisprudence a confirmé que lorsqu’une procédure accélérée est mise en œuvre par le département, la consultation de la commune n’est pas nécessaire, même en cas d’application de l’art. 106 LCI (ATA/1275/2018 du 27 novembre 2018 consid. 11).</w:t>
      </w:r>
    </w:p>
    <w:p>
      <w:r>
        <w:rPr>
          <w:b/>
        </w:rPr>
        <w:t>E. 14</w:t>
      </w:r>
    </w:p>
    <w:p>
      <w:r>
        <w:t>En l’espèce, la façon de procéder du département, qui n’a pas informé les recourants de la décision querellée avant qu’elle ne soit prise, ne viole nullement le droit d’être entendus de ces derniers dans la mesure où ils n’en étaient pas les destinataires, mais des voisins. Or, aucune norme légale ne contraint le département à entendre personnellement les voisins d’un projet de construction. En outre, dans la mesure où il s’agit d’une demande de construire en procédure accélérée, à juste titre compte tenu de la zone en question et de l’absence de dérogation, le département n’avait, conformément à l’art. 3 al. 7 LCI, ni l’obligation d’en informer la commune ni de publier la demande dans la FAO, mais uniquement l’autorisation, ce qu’il a fait le ______ 2023. Dès cette date, les recourants avaient la possibilité de venir consulter le dossier au département, prendre connaissance des pièces qu’il contenait et solliciter toutes les informations complémentaires qu’ils estimaient utiles. À sujet de cette date, il sied encore de relever que le tribunal ne peut pas admettre qu’une publication dans la FAO au cœur de l’été puisse, pour ce simple fait, prétériter le droit des intéressés respectivement voisins à s’informer, respectivement à recourir. Au surplus et en tout état, une éventuelle violation du droit d’être entendu des recourants aurait été réparée dans le cadre de la présente procédure, ceux-ci ayant pu tant recourir que s’exprimer en détail sur le projet litigieux. Ce grief sera ainsi rejeté.</w:t>
      </w:r>
    </w:p>
    <w:p>
      <w:r>
        <w:t>- 11/15 - A/2547/2023</w:t>
      </w:r>
    </w:p>
    <w:p>
      <w:r>
        <w:rPr>
          <w:b/>
        </w:rPr>
        <w:t>E. 15</w:t>
      </w:r>
    </w:p>
    <w:p>
      <w:r>
        <w:t>En second lieu, les recourants font valoir que la construction projetée serait prévue à 1 m seulement de la limite de leur parcelle.</w:t>
      </w:r>
    </w:p>
    <w:p>
      <w:r>
        <w:rPr>
          <w:b/>
        </w:rPr>
        <w:t>E. 16</w:t>
      </w:r>
    </w:p>
    <w:p>
      <w:r>
        <w:t>Les art. 67 et suivants LCI traitent du rapport des constructions avec les limites de propriétés. L’art. 67 al. 1 LCI prévoit que les constructions ne peuvent être édifiées en dessus du sol, à la limite de deux propriétés privées. Selon l’art. 68 LCI, des CDPI peuvent être édifiées à la limite de propriété ou à une distance inférieure à celles prévues à l’art. 69, dans les conditions fixées par le règlement d’application. Lorsque les conditions d’une construction en limite de propriété ne sont pas réalisées, l’art. 69 LCI fixe les règles permettant de calculer la distance minimale entre une limite de propriété et une construction, en fonction de la hauteur de son gabarit, et prévoit qu’une distance d’au moins 5 m doit être respectée dans tous les cas. L’art. 243 al. 1 RCI précise quelles sont les catégories de constructions qui peuvent, en dérogation à l’art. 67 al. 1 LCI, être édifiées en limite de propriété. On y retrouve notamment les CDPI (let. c).</w:t>
      </w:r>
    </w:p>
    <w:p>
      <w:r>
        <w:rPr>
          <w:b/>
        </w:rPr>
        <w:t>E. 17</w:t>
      </w:r>
    </w:p>
    <w:p>
      <w:r>
        <w:t>La LCI ne donne aucune définition des CDPI, mais définit les constructions dites « de très peu d’importance » à son art. 1 al. 4 et 5. La définition des CDPI se trouve dans le RCI. Aux termes de son art. 3 al. 3 1ère phrase,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tous les cas, la surface totale des CDPI ne doit pas excéder 8% de la surface de la parcelle et au maximum 100 m2 (3ème phrase). Les CDPI prévues à l’art. 3 al. 3 RCI font l’objet d’une directive du Département du 3 février 2014, modifiée les 10 mars 2017 et 9 mars 2021. Il en ressort que les types de constructions pouvant être considérés comme des CDPI sont les « garages, ateliers non professionnels, couverts à voitures, couverts de plaisance, couverts à bois, abris ou cabanes de jardin, pool house ».</w:t>
      </w:r>
    </w:p>
    <w:p>
      <w:r>
        <w:rPr>
          <w:b/>
        </w:rPr>
        <w:t>E. 18</w:t>
      </w:r>
    </w:p>
    <w:p>
      <w:r>
        <w:t>Par arrêt du 9 mai 2023, le Tribunal fédéral a confirmé la jurisprudence de la chambre administrative (ATA/437/2023 du 25 avril 2023 consid. 6 ; ATA/791/2022 du 9 août 2022) selon laquelle une piscine extérieure non couverte ne doivent pas être considérées comme des CDPI, mais représentent des aménagements extérieurs (arrêt 1C_494/2022).</w:t>
      </w:r>
    </w:p>
    <w:p>
      <w:r>
        <w:rPr>
          <w:b/>
        </w:rPr>
        <w:t>E. 19</w:t>
      </w:r>
    </w:p>
    <w:p>
      <w:r>
        <w:t>En l’espèce, la piscine étant un aménagement extérieur, rien ne s’oppose à ce qu’elle se situe à proximité de la limite parcellaire. En tout état, elle se trouve à un</w:t>
      </w:r>
    </w:p>
    <w:p>
      <w:r>
        <w:t>- 12/15 - A/2547/2023 peu plus de 6 m de celle-ci. S’agissant du local technique d’une surface de 5,40 m2 et dont la hauteur est de 2,40 m, il remplit les conditions pour être qualifié de CDPI, celui-ci pouvant être assimilé à un abri ou une cabane de jardin. Il peut donc, au vu de l’art. 68 LCI, venir s’implanter à 1 m de la limite de propriété, tel que validé par la DAC dans son préavis favorable du 4 août 2023. Ce grief sera par conséquent rejeté.</w:t>
      </w:r>
    </w:p>
    <w:p>
      <w:r>
        <w:rPr>
          <w:b/>
        </w:rPr>
        <w:t>E. 20</w:t>
      </w:r>
    </w:p>
    <w:p>
      <w:r>
        <w:t>Dans un troisième grief, les recourants estiment que le projet autorisé serait source pour eux de nuisances, en termes de bruit et d’intimité.</w:t>
      </w:r>
    </w:p>
    <w:p>
      <w:r>
        <w:rPr>
          <w:b/>
        </w:rPr>
        <w:t>E. 21</w:t>
      </w:r>
    </w:p>
    <w:p>
      <w:r>
        <w:t>À teneur de l’art. 14 al. 1 LCI, le département peut refuser une autorisation de construire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du Tribunal fédéral 1P.530/2002 du 3 février 2002 confirmant l’ATA/447/2002 du 27 août 2002 ; cf. aussi ATA/1220/2020 du 1er décembre 2020 consid. 7a et les arrêts cités ; ATA/399/2020 du 23 avril 2020 consid. 7d).</w:t>
      </w:r>
    </w:p>
    <w:p>
      <w:r>
        <w:t>- 13/15 - A/2547/2023 Selon la jurisprudence, les piscines n’engendrent pas, selon l’expérience, des nuisances propres à gêner de manière sensible la population, notamment les voisins, dans leur bien-être lorsqu’elles sont utilisées conformément à l’usage qui doit en être fait. Les éventuels bruits propagés par les voisins utilisant une piscine privée ne peuvent par conséquent pas être considérés comme des inconvénients graves. S’il est indubitable que la construction d’une piscine aura des répercussions sur la quiétude du quartier, l’art. 14 al. 1 LCI n’a toutefois pas pour but d’empêcher toute construction, dans une zone à bâtir, qui aurait des effets sur la situation ou le bien- être des voisins (arrêt du Tribunal fédéral 1C_55/2016 du 3 mars 2016 consid 3.5).</w:t>
      </w:r>
    </w:p>
    <w:p>
      <w:r>
        <w:rPr>
          <w:b/>
        </w:rPr>
        <w:t>E. 22</w:t>
      </w:r>
    </w:p>
    <w:p>
      <w:r>
        <w:t>En l’espèce, il sied en premier lieu de constater que le projet litigieux, qui a été préavisé favorablement par l’ensemble des instances de préavis consultées, est manifestement conforme à l’affectation de la zone. Par conséquent, il ne peut être considéré, à la lumière de la jurisprudence susmentionnée, que les nuisances sonores résultant de l’utilisation de la piscine contestée seront propres à gêner de manière sensible les recourants dans leur bien-être. Il n’en va pas différemment d’une éventuelle péjoration de la tranquillité et de l’intimité dont les recourants jouissent à l’heure actuelle. Ainsi que souligné par le département, les normes en matière de construction n’ont pas pour vocation de protéger l’intimité des habitants (ATA/197/2022 du 22 février 2022 consid. 4c ; ATA/498/2020 du 19 mai 2020 consid. 7b). En effet, le droit à l’intimité qu’invoque les recourants, qui s’apparente en fait à la perte de vue, n’est protégé en droit public que de façon indirecte par le biais des règles de police des constructions (distances aux limites et entre bâtiments, hauteurs maximum, notamment ; arrêt du Tribunal fédéral 1C_279/2017 du 27 mars 2018 consid. 4.5.2), lesquelles sont en l’espèce respectées, ainsi que relevé précédemment. Il en découle que le grief tiré de la violation de l’art. 14 al. 1 LCI doit être écarté.</w:t>
      </w:r>
    </w:p>
    <w:p>
      <w:r>
        <w:rPr>
          <w:b/>
        </w:rPr>
        <w:t>E. 23</w:t>
      </w:r>
    </w:p>
    <w:p>
      <w:r>
        <w:t>Enfin, les recourants laissent entendre que le projet en cause risquerait de mettre en danger la biodiversité de la parcelle en raison du bétonnage du peu du jardin subsistant.</w:t>
      </w:r>
    </w:p>
    <w:p>
      <w:r>
        <w:rPr>
          <w:b/>
        </w:rPr>
        <w:t>E. 24</w:t>
      </w:r>
    </w:p>
    <w:p>
      <w:r>
        <w:t>L’art. 59 al. 3bis LCI, adopté le 1er octobre 2020, dispose qu’une surface en pleine terre, à savoir dénuée de toute construction en surface ou en sous-sol et non revêtue, de la parcelle ou du groupe de parcelles considérées par la demande d’autorisation de construire doit être préservée. Selon la directive LCI 021-v7 sur le rapport des surfaces en zone 5 émise par le département le 1er mars 2013 et modifiée le 15 août 2022 (ci-après: directive 021-v7 ; https://www.ge.ch/document/4365/telecharger),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"Densification de la zone 5" (www.ge.ch/document/marche-suivre-densification- zone-5). Selon l’expérience de la CA, il peut être considéré, en règle générale, qu’une surface pleine terre inférieure à 40% n’est ni qualitative, ni suffisamment</w:t>
      </w:r>
    </w:p>
    <w:p>
      <w:r>
        <w:t>- 14/15 - A/2547/2023 quantitative. À l’inverse une surface supérieure à 60% peut être considérée comme suffisamment quantitative et qualitative ».</w:t>
      </w:r>
    </w:p>
    <w:p>
      <w:r>
        <w:rPr>
          <w:b/>
        </w:rPr>
        <w:t>E. 25</w:t>
      </w:r>
    </w:p>
    <w:p>
      <w:r>
        <w:t>En l’espèce, l’OCAN a préavisé favorablement le 17 juillet 2023, sous conditions, sans évoquer à cette occasion le moindre problème de biodiversité en raison du projet querellé. Par ailleurs, la DAC a examiné la question de la surface de pleine terre et a constaté, ainsi que cela figure sur le plan B08 - analyse du projet du 20 juin 2023, qu’une surface de pleine terre de 381,30 m2, soit 56,24% de la parcelle, était maintenue avec le projet. Dans ces circonstances, il ne peut être retenu que le taux de surface de pleine terre était insuffisant quantitativement et/ou qualitative- ment. Ce grief sera aussi rejeté.</w:t>
      </w:r>
    </w:p>
    <w:p>
      <w:r>
        <w:rPr>
          <w:b/>
        </w:rPr>
        <w:t>E. 26</w:t>
      </w:r>
    </w:p>
    <w:p>
      <w:r>
        <w:t>Mal fondé, le recours sera rejeté.</w:t>
      </w:r>
    </w:p>
    <w:p>
      <w:r>
        <w:rPr>
          <w:b/>
        </w:rPr>
        <w:t>E. 27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en CHF 900.- versée à la suite du dépôt du recours.</w:t>
      </w:r>
    </w:p>
    <w:p>
      <w:r>
        <w:rPr>
          <w:b/>
        </w:rPr>
        <w:t>E. 28</w:t>
      </w:r>
    </w:p>
    <w:p>
      <w:r>
        <w:t>Les intimés n'étant pas représentés par un avocat, aucune indemnité de procédure ne leur sera allouée (art. 87 al. 2 LPA).</w:t>
      </w:r>
    </w:p>
    <w:p>
      <w:r>
        <w:t>- 15/15 - A/2547/2023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