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JTAPI/354/2024 vom 17. April 2024</w:t>
      </w:r>
    </w:p>
    <w:p>
      <w:r>
        <w:t>GE Cour de justice, 2024-04-17, FR</w:t>
      </w:r>
    </w:p>
    <w:p>
      <w:r>
        <w:rPr>
          <w:b/>
        </w:rPr>
        <w:t xml:space="preserve">Quelle: </w:t>
      </w:r>
      <w:r>
        <w:t>https://mcp.opencaselaw.ch/entscheid/ge_gerichte_JTAPI_354_2024</w:t>
      </w:r>
    </w:p>
    <w:p>
      <w:r>
        <w:t>FR: GE_GERICHTE JTAPI/354/2024 du 17 avril 2024</w:t>
      </w:r>
    </w:p>
    <w:p>
      <w:r>
        <w:t>IT: GE_GERICHTE JTAPI/354/2024 del 17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t>- 8/12 - A/338/2023</w:t>
      </w:r>
    </w:p>
    <w:p>
      <w:r>
        <w:rPr>
          <w:b/>
        </w:rPr>
        <w:t>E. 4</w:t>
      </w:r>
    </w:p>
    <w:p>
      <w:r>
        <w:t>Les arguments formulés par les parties à l’appui de leurs conclusions respectives seront repris et discutés dans la mesure utile (cf. arrêt du Tribunal fédéral 2C_831/2019 du 8 juin 2020 consid. 2.1 et les références citées), étant rappelé que, saisi d’un recours, le tribunal applique le droit d’office et que s’il ne peut pas aller au-delà des conclusions des parties, il n’est lié ni par les motifs invoqués par celles- ci (art. 69 al. 1 LPA), ni par leur argumentation juridique (ATA/1024/2020 du 13 octobre 2020 consid. 1 ; ATA/322/2019 du 26 mars 2019 consid. 3).</w:t>
      </w:r>
    </w:p>
    <w:p>
      <w:r>
        <w:rPr>
          <w:b/>
        </w:rPr>
        <w:t>E. 5</w:t>
      </w:r>
    </w:p>
    <w:p>
      <w:r>
        <w:t>La commune se plaint d’une violation de son droit d’être entendue, laquelle devait conduire à l’annulation de la décision querellée. Par ailleurs, cette dernière n’était pas suffisamment motivée.</w:t>
      </w:r>
    </w:p>
    <w:p>
      <w:r>
        <w:rPr>
          <w:b/>
        </w:rPr>
        <w:t>E. 6</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ATA/401/2024 du 19 mars 2024 consid. 7.1). Ce moyen doit par conséquent être examiné en premier lieu (ATF 141 V 495 consid. 2.2). Sa portée est déterminée d’abord par le droit cantonal (art. 41 ss LPA) et le droit administratif spécial (ATF 126 I 15 consid. 2 ; 125 I 257 consid. 3a).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ATA/1372/2023 du 12 décembre 2023 consid. 5.1 ; Thierry TANQUEREL, op. cit., n. 1526 p. 518-519). Quant à l’art. 6 § 1 de la Convention de sauvegarde des droits de l’homme et des libertés fondamentales du 4 novembre 1950 (CEDH - RS 0.101), il n’accorde pas au justiciable de garanties plus étendues que celles découlant de l’art. 29 al. 2 Cst. (arrêt du Tribunal fédéral 8C_47/2023 du 14 juin 2023 consid. 3.1).</w:t>
      </w:r>
    </w:p>
    <w:p>
      <w:r>
        <w:rPr>
          <w:b/>
        </w:rPr>
        <w:t>E. 7</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citées ; ATA/949/2021 du 14 septembre 2021 consid. 5a et les références citées).</w:t>
      </w:r>
    </w:p>
    <w:p>
      <w:r>
        <w:rPr>
          <w:b/>
        </w:rPr>
        <w:t>E. 8</w:t>
      </w:r>
    </w:p>
    <w:p>
      <w:r>
        <w:t>Une décision entreprise pour violation du droit d’être entendu n’est pas nulle mais annulable (ATF 143 IV 380 consid. 1.4.1 ; arrêt du Tribunal fédéral 1C_31/2021 du 16 juillet 2021 consid. 2.1 ; ATA/547/2021 du 25 mai 2021 consid. 6a et les références citées).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w:t>
      </w:r>
    </w:p>
    <w:p>
      <w:r>
        <w:t>- 9/12 - A/338/2023 circonstances sont telles que le système d’annulabilité n’offre manifestement pas la protection nécessaire (ATF 138 III 49 consid. 4.4.3 ; arrêt du Tribunal fédéral 1C_160/2017 du 3 octobre 2017 consid. 5.1 ; ATA/547/2021 du 9 juillet 2021 consid. 6a et les références citées).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w:t>
      </w:r>
    </w:p>
    <w:p>
      <w:r>
        <w:rPr>
          <w:b/>
        </w:rPr>
        <w:t>E. 9</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références citées ; Pierre MOOR/Etienne POLTIER, Droit administratif, vol. 2, 2011, ch. 2.2.7.4 p. 322 et ch. 2.3.3.1 p. 362; Thierry TANQUEREL, op. cit., n. 1553 s. p. 526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w:t>
      </w:r>
    </w:p>
    <w:p>
      <w:r>
        <w:rPr>
          <w:b/>
        </w:rPr>
        <w:t>E. 14</w:t>
      </w:r>
    </w:p>
    <w:p>
      <w:r>
        <w:t>septembre 2021 consid. 5b et les références citées).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 10. Dans deux procédures récentes, la chambre administrative de la Cour de justice (ci-après : chambre administrative) a jugé que la façon de procéder du département, par laquelle la notification d’une décision vaut dies a quo tout à la fois des délais de recours et d’exercice du droit d’être entendu, violait gravement la définition même dudit droit, retenant que si certes une violation du droit d’être entendu pouvait dans certains cas être réparée dans la procédure judiciaire, tel n’était pas le cas lorsque la violation était grave, comme en l’espèce, et que le renvoi ne constituerait pas une vaine formalité avec pour conséquence un allongement inutile de la procédure (ATA/1305/2023 du 5 décembre 2023 et ATA/1000/2023 du 12 septembre 2023). 11. En l’espèce, le département a prononcé la décision querellée le ______ 2022 en y mentionnant dûment la voie et le délai de recours, tout en offrant, dans le même</w:t>
      </w:r>
    </w:p>
    <w:p>
      <w:r>
        <w:t>- 10/12 - A/338/2023 document, la possibilité de transmettre un complément d’explications et/ou d’observations quant aux faits relevés dans un délai de dix jours « si vous estimez que votre droit d’être entendue n’a pas été totalement respecté ». Le département considère que ledit droit a été respecté, par le biais des courriels des 8, 27 juillet et 6 novembre 2022 en réponse à ses courriers des 7 juillet respectivement 2 novembre 2022. Il relève au surplus que la recourante a été informée de la dénonciation et que suite à la visite sur place du 16 novembre 2022, dont elle avait connaissance, elle devait s’attendre à ce qu’une décision lui soit notifiée. Elle avait en outre saisi la possibilité d’apporter d’éventuels compléments d’explication et/ou d’observation qui lui avait été offerte dans la décision querellée. Aucune pièce au dossier n’indique toutefois le contenu de la visite sur place, notamment ce qui s’y est dit, en présence du collaborateur du département en charge du dossier, d’un géomètre du bureau G______ et de la cheffe de projet mais d’aucun représentant de A______. Aucun procès-verbal n’a été versé à la procédure, voire peut-être même établi. La visite a servi à réaliser une photographie en gros plan « de la borne enterrée » tenant sur une page de format A4, jointe au dossier. La commune relève par ailleurs à juste titre que le département ne l’a jamais informée de son intention de donner une suite favorable à la dénonciation, malgré leurs nombreux échanges et discussions à cet égard et l’interpellation expresse de la cheffe de projet à ce sujet le 21 septembre 2022. Il ne s’est pas non plus déterminé suite au dernier rapport du bureau G______ ni n’a indiqué les motifs qui lui permettaient de s’écarter des conclusions dudit rapport ou expliqué en quoi celles- ci ne seraient pas probantes avant le prononcé de la décision querellée ni dans le cadre de cette dernière. Il ne peut dès lors être retenu que A______ a pu valablement s’exprimer sur l’ordre de remise en état du terrain naturel de la parcelle n° 1______ qui serait contraire à l’art. 46C RCI, avant que ne soit rendue la décision litigieuse. Or, la définition du droit d’être entendu comprend précisément, notamment, le droit pour les parties de faire valoir leur point de vue avant qu’une décision ne soit prise et celui de fournir des preuves quant aux faits de nature à influer sur la décision. La façon de procéder du département, par laquelle la notification d’une décision vaut dies a quo tout à la fois des délais de recours et d’exercice du droit d’être entendu viole gravement la définition même dudit droit, comme retenu par la chambre administrative dans les deux jurisprudences précitées. Enfin, si certes une violation du droit d’être entendu peut dans certains cas être réparée dans la procédure judiciaire, tel n’est pas le cas lorsque la violation est grave, comme en l’espèce, et que le renvoi ne constituerait pas une vaine formalité avec pour conséquence un allongement inutile de la procédure. Partant, conformément aux jurisprudences précitées, au vu de la gravité de la violation du droit d’être entendue de la recourante, du fait que le tribunal ne dispose pas de la compétence d’apprécier l’opportunité de la décision attaquée, celle-ci sera annulée et le dossier retourné au département afin qu’il examine notamment l’opportunité d’éviter une procédure en justice par une discussion entre les parties,</w:t>
      </w:r>
    </w:p>
    <w:p>
      <w:r>
        <w:t>- 11/12 - A/338/2023 s’agissant d’une différence de niveau de plus ou moins 20 cm entre les parcelles nos 3______ et 1______ sans qu’il ne semble ressortir du dossier que le niveau du terrain naturel en limite de la parcelle n° 3______ aurait été déterminé avec précision avant les travaux entrepris en 2018 ni qu’il ne soit possible d’affirmer qu’il n’aurait pas été modifié entre 2018 et 2021 - ce qu’il appartiendra au département d’instruire cas échéant -, voire qu’il octroie à A______ un délai pour qu’elle puisse exercer son droit d’être entendue avant qu’une décision ne soit prise. Dans ces conditions, ce renvoi n’apparait pas une vaine formalité. 12. Le recours sera en conséquence admis et la décision annulée. 13. Vu l’issue du litige, il ne sera pas perçu d’émolument (art. 87 al. 1 LPA) et l’avance de frais versée par la recourante lui sera restituée. Aucune indemnité de procédure ne sera allouée à A______, dans la mesure où elle compte plus de dix mille habitants, soit une taille suffisante pour disposer d’un service juridique et est par conséquent apte à assurer la défense de ses intérêts sans recourir aux service d’un avocat (ATA/1223/2021 du 16 novembre 2021 et les références citées ; Stéphane GRODECKI/Romain JORDAN, Code annoté de procédure administrative genevoise, 2017, ad art. 87 n. 1041 p. 272 s. ; art. 87 al. 2 LPA).</w:t>
      </w:r>
    </w:p>
    <w:p>
      <w:r>
        <w:t>- 12/12 - A/338/2023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