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JTAPI/353/2024 vom 8. April 2024</w:t>
      </w:r>
    </w:p>
    <w:p>
      <w:r>
        <w:t>GE Cour de justice, 2024-04-08, FR</w:t>
      </w:r>
    </w:p>
    <w:p>
      <w:r>
        <w:rPr>
          <w:b/>
        </w:rPr>
        <w:t xml:space="preserve">Quelle: </w:t>
      </w:r>
      <w:r>
        <w:t>https://mcp.opencaselaw.ch/entscheid/ge_gerichte_JTAPI_353_2024</w:t>
      </w:r>
    </w:p>
    <w:p>
      <w:r>
        <w:t>FR: GE_GERICHTE JTAPI/353/2024 du 8 avril 2024</w:t>
      </w:r>
    </w:p>
    <w:p>
      <w:r>
        <w:t>IT: GE_GERICHTE JTAPI/353/2024 del 8 aprile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w:t>
      </w:r>
    </w:p>
    <w:p>
      <w:r>
        <w:t>- 8/10 - A/1205/2024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notamment les 23/24 avril 2023 et 7 avril 2024, correspondent à la notion de violences domestiques au sens défini par la loi. M. B______ a notamment admis l’avoir sortie contre sa volonté de la chambre conjugale, avoir fait sa valise et l’avoir menacée de la mettre dehors alors qu’elle était sans argent, ceci parce qu’elle ne s’entendait pas avec sa famille et pour qu’elle comprenne qu’il pouvait lui demander de quitter l’appartement. Il admet également de nombreuses disputes mais nie en revanche toute contrainte sexuelle. Lors de l’audience, Mme A______ a confirmé ses craintes de nouvelles violences et son souhait de ne plus reprendre la vie commune avec son époux. Elle a notamment indiqué qu’elle n'imaginait pas passer une nuit supplémentaire dans le même appartement que lui et préfèrerait aller dans un foyer si le tribunal ne devait pas prolonger la mesure. Elle a ainsi persisté à requérir son éloignement du domicile familial pour une durée de 30 jours supplémentaires, en indiquant toutefois qu’elle n’était pas opposée à ce que l'éloignement ne vise que le domicile familial, mais pas les contacts hors du domicile, notamment téléphoniques, entre elle-même et M. B______, pour organiser ses relations personnelles avec ses filles. L’intéressé a, pour sa part, indiqué comprendre que son épouse ait besoin de plus de temps et que si elle voulait une séparation, c’était son droit. Il souhaitait, à termes, pouvoir reprendre le dialogue avec son épouse et faire une médiation dans l'idée de sauver leur couple, tout en comprenant bien que si elle souhaitait une séparation, c’était son droit. Il n’avait pas cherché à contacté son épouse durant la mesure d’éloignement et avait participé à un entretien socio-thérapeutique avec</w:t>
      </w:r>
    </w:p>
    <w:p>
      <w:r>
        <w:t>- 9/10 - A/1205/2024 VIRES le 9 avril 2024. Après réflexion, il a indiqué être d'accord de rester éloigné du domicile familial pour une durée de 30 jours supplémentaires, mais souhaiter pouvoir communiquer avec son épouse pour organiser ses relations personnelles avec leurs filles. Dès lors, prenant acte de la volonté exprimée par chacune des parties, à laquelle il convient de donner suite, le tribunal prolongera la mesure d'éloignement en cause jusqu'au 18 mai 2024 à 17h00 en tant qu’elle interdit à M. B______ de pénétrer à l’adresse privée de Mme A______, située ______[GE]. Pour le surplus, la mesure d’éloignement prendra fin le 18 avril 2024 à 17h00. Dès cette date, conformément à l’accord des parties, M B______ pourra à nouveau avoir des contacts avec son épouse pour organiser ses relations personnelles avec leurs filles et, au besoin, la rencontrer en dehors du domicile conjugal, à cette fin. Enfin, il sera rappelé que M. B______ pourra, le cas échéant, venir chercher dans l'appartement conjugal, ses effets personnels, à une date préalablement convenue par les parties et accompagné de la police.</w:t>
      </w:r>
    </w:p>
    <w:p>
      <w:r>
        <w:rPr>
          <w:b/>
        </w:rPr>
        <w:t>E. 5</w:t>
      </w:r>
    </w:p>
    <w:p>
      <w:r>
        <w:t>Par conséquent, la demande de prolongation sera partiellement admise et la mesure d'éloignement prolongée dans le sens de ce qui précède.</w:t>
      </w:r>
    </w:p>
    <w:p>
      <w:r>
        <w:rPr>
          <w:b/>
        </w:rPr>
        <w:t>E. 6</w:t>
      </w:r>
    </w:p>
    <w:p>
      <w:r>
        <w:t>Vu la nature du litige, il ne sera pas perçu d'émolument ni alloué de dépens (art. 87 al. 1 et 2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A/1205/2024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